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83886">
      <w:pPr>
        <w:pStyle w:val="6"/>
        <w:rPr>
          <w:rFonts w:hint="default" w:ascii="黑体" w:eastAsia="黑体"/>
          <w:sz w:val="32"/>
        </w:rPr>
      </w:pPr>
      <w:r>
        <w:rPr>
          <w:rFonts w:ascii="黑体" w:eastAsia="黑体"/>
          <w:sz w:val="32"/>
        </w:rPr>
        <w:t>附件2</w:t>
      </w:r>
    </w:p>
    <w:p w14:paraId="211CAF2A">
      <w:pPr>
        <w:pStyle w:val="6"/>
        <w:rPr>
          <w:rFonts w:hint="default"/>
          <w:b/>
          <w:sz w:val="44"/>
        </w:rPr>
      </w:pPr>
    </w:p>
    <w:p w14:paraId="4EE81036">
      <w:pPr>
        <w:pStyle w:val="6"/>
        <w:rPr>
          <w:rFonts w:hint="default"/>
          <w:b/>
          <w:sz w:val="44"/>
        </w:rPr>
      </w:pPr>
    </w:p>
    <w:p w14:paraId="44BDA49E">
      <w:pPr>
        <w:pStyle w:val="6"/>
        <w:rPr>
          <w:rFonts w:hint="default"/>
          <w:b/>
          <w:sz w:val="44"/>
        </w:rPr>
      </w:pPr>
    </w:p>
    <w:p w14:paraId="0BEC1356">
      <w:pPr>
        <w:pStyle w:val="6"/>
        <w:rPr>
          <w:rFonts w:hint="default"/>
          <w:b/>
          <w:sz w:val="44"/>
        </w:rPr>
      </w:pPr>
    </w:p>
    <w:p w14:paraId="5571CA15">
      <w:pPr>
        <w:pStyle w:val="6"/>
        <w:rPr>
          <w:rFonts w:hint="default" w:ascii="宋体" w:hAnsi="宋体" w:eastAsia="宋体" w:cstheme="minorBidi"/>
          <w:b/>
          <w:kern w:val="2"/>
          <w:sz w:val="52"/>
          <w:szCs w:val="52"/>
          <w:lang w:val="en-US" w:eastAsia="zh-CN" w:bidi="ar-SA"/>
        </w:rPr>
      </w:pPr>
    </w:p>
    <w:p w14:paraId="4D114E81">
      <w:pPr>
        <w:spacing w:line="540" w:lineRule="exact"/>
        <w:jc w:val="center"/>
        <w:rPr>
          <w:rFonts w:hint="eastAsia" w:ascii="宋体" w:hAnsi="宋体" w:eastAsia="宋体"/>
          <w:b/>
          <w:bCs w:val="0"/>
          <w:color w:val="FF0000"/>
          <w:sz w:val="52"/>
          <w:szCs w:val="52"/>
          <w:lang w:eastAsia="zh-CN"/>
        </w:rPr>
      </w:pPr>
      <w:r>
        <w:rPr>
          <w:rFonts w:hint="eastAsia" w:ascii="宋体" w:hAnsi="宋体" w:eastAsia="宋体" w:cstheme="minorBidi"/>
          <w:b/>
          <w:kern w:val="2"/>
          <w:sz w:val="52"/>
          <w:szCs w:val="52"/>
          <w:lang w:val="en-US" w:eastAsia="zh-CN" w:bidi="ar-SA"/>
        </w:rPr>
        <w:t>浑南区财政局20</w:t>
      </w:r>
      <w:r>
        <w:rPr>
          <w:rFonts w:hint="eastAsia" w:ascii="宋体" w:hAnsi="宋体"/>
          <w:b/>
          <w:sz w:val="52"/>
          <w:szCs w:val="52"/>
          <w:lang w:eastAsia="zh-CN"/>
        </w:rPr>
        <w:t>2</w:t>
      </w:r>
      <w:r>
        <w:rPr>
          <w:rFonts w:hint="eastAsia" w:ascii="宋体" w:hAnsi="宋体"/>
          <w:b/>
          <w:sz w:val="52"/>
          <w:szCs w:val="52"/>
          <w:lang w:val="en-US" w:eastAsia="zh-CN"/>
        </w:rPr>
        <w:t>2</w:t>
      </w:r>
      <w:r>
        <w:rPr>
          <w:rFonts w:hint="eastAsia" w:ascii="宋体" w:hAnsi="宋体"/>
          <w:b/>
          <w:sz w:val="52"/>
          <w:szCs w:val="52"/>
          <w:lang w:eastAsia="zh-CN"/>
        </w:rPr>
        <w:t>决算公开</w:t>
      </w:r>
    </w:p>
    <w:p w14:paraId="76F08B10">
      <w:pPr>
        <w:pStyle w:val="6"/>
        <w:jc w:val="both"/>
        <w:rPr>
          <w:rFonts w:hint="default" w:ascii="仿宋_GB2312" w:eastAsia="仿宋_GB2312"/>
          <w:b/>
          <w:sz w:val="52"/>
        </w:rPr>
      </w:pPr>
    </w:p>
    <w:p w14:paraId="6E25CC13">
      <w:pPr>
        <w:pStyle w:val="6"/>
        <w:jc w:val="center"/>
        <w:rPr>
          <w:rFonts w:hint="default" w:ascii="Times New Roman" w:eastAsia="Times New Roman"/>
          <w:b/>
          <w:sz w:val="44"/>
          <w:u w:val="single"/>
        </w:rPr>
      </w:pPr>
    </w:p>
    <w:p w14:paraId="780B2E76">
      <w:pPr>
        <w:pStyle w:val="6"/>
        <w:jc w:val="center"/>
        <w:rPr>
          <w:rFonts w:hint="default" w:ascii="Times New Roman" w:eastAsia="Times New Roman"/>
          <w:b/>
          <w:sz w:val="44"/>
          <w:u w:val="single"/>
        </w:rPr>
      </w:pPr>
    </w:p>
    <w:p w14:paraId="137083CB">
      <w:pPr>
        <w:pStyle w:val="6"/>
        <w:jc w:val="center"/>
        <w:rPr>
          <w:rFonts w:hint="default" w:ascii="Times New Roman" w:eastAsia="Times New Roman"/>
          <w:b/>
          <w:sz w:val="44"/>
          <w:u w:val="single"/>
        </w:rPr>
      </w:pPr>
    </w:p>
    <w:p w14:paraId="31013FD4">
      <w:pPr>
        <w:pStyle w:val="6"/>
        <w:jc w:val="center"/>
        <w:rPr>
          <w:rFonts w:hint="default" w:ascii="Times New Roman" w:eastAsia="Times New Roman"/>
          <w:b/>
          <w:sz w:val="44"/>
          <w:u w:val="single"/>
        </w:rPr>
      </w:pPr>
    </w:p>
    <w:p w14:paraId="587F0EEA">
      <w:pPr>
        <w:pStyle w:val="6"/>
        <w:jc w:val="center"/>
        <w:rPr>
          <w:rFonts w:hint="default" w:ascii="Times New Roman" w:eastAsia="Times New Roman"/>
          <w:b/>
          <w:sz w:val="44"/>
          <w:u w:val="single"/>
        </w:rPr>
      </w:pPr>
    </w:p>
    <w:p w14:paraId="373F8E0E">
      <w:pPr>
        <w:pStyle w:val="6"/>
        <w:jc w:val="center"/>
        <w:rPr>
          <w:rFonts w:hint="default" w:ascii="Times New Roman" w:eastAsia="Times New Roman"/>
          <w:b/>
          <w:sz w:val="44"/>
          <w:u w:val="single"/>
        </w:rPr>
      </w:pPr>
    </w:p>
    <w:p w14:paraId="247ED36A">
      <w:pPr>
        <w:pStyle w:val="6"/>
        <w:jc w:val="center"/>
        <w:rPr>
          <w:rFonts w:hint="default" w:ascii="Times New Roman" w:eastAsia="Times New Roman"/>
          <w:b/>
          <w:sz w:val="44"/>
          <w:u w:val="single"/>
        </w:rPr>
      </w:pPr>
    </w:p>
    <w:p w14:paraId="5BC44D69">
      <w:pPr>
        <w:pStyle w:val="6"/>
        <w:jc w:val="center"/>
        <w:rPr>
          <w:rFonts w:hint="default" w:ascii="Times New Roman" w:eastAsia="Times New Roman"/>
          <w:b/>
          <w:sz w:val="44"/>
          <w:u w:val="single"/>
        </w:rPr>
      </w:pPr>
    </w:p>
    <w:p w14:paraId="1B981D70">
      <w:pPr>
        <w:pStyle w:val="6"/>
        <w:jc w:val="center"/>
        <w:rPr>
          <w:rFonts w:hint="default" w:ascii="Times New Roman" w:eastAsia="Times New Roman"/>
          <w:b/>
          <w:sz w:val="44"/>
          <w:u w:val="single"/>
        </w:rPr>
      </w:pPr>
    </w:p>
    <w:p w14:paraId="0B01B2B6">
      <w:pPr>
        <w:pStyle w:val="6"/>
        <w:jc w:val="center"/>
        <w:rPr>
          <w:rFonts w:hint="default" w:ascii="Times New Roman" w:eastAsia="Times New Roman"/>
          <w:b/>
          <w:sz w:val="44"/>
          <w:u w:val="single"/>
        </w:rPr>
      </w:pPr>
    </w:p>
    <w:p w14:paraId="2581F229">
      <w:pPr>
        <w:pStyle w:val="6"/>
        <w:jc w:val="center"/>
        <w:rPr>
          <w:rFonts w:hint="default" w:ascii="Times New Roman" w:eastAsia="Times New Roman"/>
          <w:b/>
          <w:sz w:val="44"/>
          <w:u w:val="single"/>
        </w:rPr>
      </w:pPr>
    </w:p>
    <w:p w14:paraId="60D168AF">
      <w:pPr>
        <w:pStyle w:val="6"/>
        <w:jc w:val="center"/>
        <w:rPr>
          <w:rFonts w:hint="default" w:ascii="Times New Roman" w:eastAsia="Times New Roman"/>
          <w:b/>
          <w:sz w:val="44"/>
          <w:u w:val="single"/>
        </w:rPr>
      </w:pPr>
    </w:p>
    <w:p w14:paraId="782DCB21">
      <w:pPr>
        <w:pStyle w:val="6"/>
        <w:jc w:val="center"/>
        <w:rPr>
          <w:rFonts w:hint="default" w:ascii="Times New Roman" w:eastAsia="Times New Roman"/>
          <w:b/>
          <w:sz w:val="44"/>
          <w:u w:val="single"/>
        </w:rPr>
      </w:pPr>
    </w:p>
    <w:p w14:paraId="49E42981">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5D5ADC66">
      <w:pPr>
        <w:pStyle w:val="6"/>
        <w:spacing w:line="560" w:lineRule="exact"/>
        <w:rPr>
          <w:rFonts w:hint="default" w:ascii="Times New Roman" w:eastAsia="Times New Roman"/>
          <w:b/>
          <w:sz w:val="44"/>
          <w:u w:val="single"/>
        </w:rPr>
      </w:pPr>
    </w:p>
    <w:p w14:paraId="783BD107">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4936107E">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0A41500A">
      <w:pPr>
        <w:pStyle w:val="6"/>
        <w:spacing w:line="560" w:lineRule="exact"/>
        <w:rPr>
          <w:rFonts w:hint="default" w:ascii="仿宋_GB2312" w:eastAsia="仿宋_GB2312"/>
          <w:sz w:val="32"/>
        </w:rPr>
      </w:pPr>
      <w:r>
        <w:rPr>
          <w:rFonts w:ascii="仿宋_GB2312" w:eastAsia="仿宋_GB2312"/>
          <w:sz w:val="32"/>
        </w:rPr>
        <w:t>二、决算单位构成</w:t>
      </w:r>
    </w:p>
    <w:p w14:paraId="6952D5D2">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2D4183E5">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772F6014">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0A55F74E">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5B808778">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2E070671">
      <w:pPr>
        <w:pStyle w:val="6"/>
        <w:spacing w:line="560" w:lineRule="exact"/>
        <w:rPr>
          <w:rFonts w:hint="default" w:ascii="黑体" w:eastAsia="黑体"/>
          <w:sz w:val="32"/>
        </w:rPr>
      </w:pPr>
      <w:r>
        <w:rPr>
          <w:rFonts w:ascii="仿宋_GB2312" w:eastAsia="仿宋_GB2312"/>
          <w:sz w:val="32"/>
        </w:rPr>
        <w:t>五、其他重要事项的情况说明</w:t>
      </w:r>
    </w:p>
    <w:p w14:paraId="3F1B0338">
      <w:pPr>
        <w:pStyle w:val="6"/>
        <w:spacing w:line="560" w:lineRule="exact"/>
        <w:rPr>
          <w:rFonts w:hint="default" w:ascii="黑体" w:eastAsia="黑体"/>
          <w:sz w:val="32"/>
        </w:rPr>
      </w:pPr>
      <w:r>
        <w:rPr>
          <w:rFonts w:ascii="黑体" w:eastAsia="黑体"/>
          <w:sz w:val="32"/>
        </w:rPr>
        <w:t>第三部分    名词解释</w:t>
      </w:r>
    </w:p>
    <w:p w14:paraId="16575853">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5EA9A0BB">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CC431EC">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4947FE63">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7A4AFFCF">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078075C6">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AB0AABB">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1544C09">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6B6BE28B">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13610E65">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3E6B7A3E">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30C24187">
      <w:pPr>
        <w:pStyle w:val="6"/>
        <w:spacing w:line="560" w:lineRule="exact"/>
        <w:jc w:val="center"/>
        <w:rPr>
          <w:rFonts w:hint="default"/>
          <w:b/>
          <w:sz w:val="36"/>
        </w:rPr>
      </w:pPr>
    </w:p>
    <w:p w14:paraId="72F6F950">
      <w:pPr>
        <w:pStyle w:val="6"/>
        <w:spacing w:line="560" w:lineRule="exact"/>
        <w:jc w:val="center"/>
        <w:rPr>
          <w:rFonts w:hint="default"/>
          <w:b/>
          <w:sz w:val="36"/>
        </w:rPr>
      </w:pPr>
    </w:p>
    <w:p w14:paraId="2B568930">
      <w:pPr>
        <w:keepNext w:val="0"/>
        <w:keepLines w:val="0"/>
        <w:pageBreakBefore w:val="0"/>
        <w:kinsoku/>
        <w:wordWrap/>
        <w:overflowPunct/>
        <w:topLinePunct w:val="0"/>
        <w:autoSpaceDE/>
        <w:bidi w:val="0"/>
        <w:adjustRightInd/>
        <w:snapToGrid/>
        <w:spacing w:line="540" w:lineRule="exact"/>
        <w:ind w:firstLine="1084" w:firstLineChars="300"/>
        <w:jc w:val="both"/>
        <w:textAlignment w:val="auto"/>
        <w:outlineLvl w:val="0"/>
        <w:rPr>
          <w:rFonts w:hint="eastAsia" w:ascii="宋体" w:hAnsi="宋体"/>
          <w:b/>
          <w:color w:val="auto"/>
          <w:sz w:val="36"/>
          <w:szCs w:val="36"/>
        </w:rPr>
      </w:pPr>
      <w:r>
        <w:rPr>
          <w:b/>
          <w:sz w:val="36"/>
        </w:rPr>
        <w:t xml:space="preserve">第一部分 </w:t>
      </w:r>
      <w:r>
        <w:rPr>
          <w:rFonts w:hint="eastAsia" w:ascii="宋体" w:hAnsi="宋体"/>
          <w:b/>
          <w:color w:val="auto"/>
          <w:sz w:val="36"/>
          <w:szCs w:val="36"/>
        </w:rPr>
        <w:t>沈阳市浑南区财政局概况</w:t>
      </w:r>
    </w:p>
    <w:p w14:paraId="4054F8D1">
      <w:pPr>
        <w:pStyle w:val="6"/>
        <w:spacing w:line="560" w:lineRule="exact"/>
        <w:jc w:val="center"/>
        <w:rPr>
          <w:rFonts w:hint="default"/>
          <w:b/>
          <w:sz w:val="36"/>
        </w:rPr>
      </w:pPr>
    </w:p>
    <w:p w14:paraId="753AB3DD">
      <w:pPr>
        <w:pStyle w:val="6"/>
        <w:spacing w:line="560" w:lineRule="exact"/>
        <w:ind w:firstLine="640"/>
        <w:rPr>
          <w:rFonts w:hint="default" w:ascii="黑体" w:eastAsia="黑体"/>
          <w:sz w:val="32"/>
        </w:rPr>
      </w:pPr>
    </w:p>
    <w:p w14:paraId="781FF1A3">
      <w:pPr>
        <w:pStyle w:val="6"/>
        <w:spacing w:line="560" w:lineRule="exact"/>
        <w:ind w:firstLine="640"/>
        <w:rPr>
          <w:rFonts w:hint="default" w:ascii="黑体" w:eastAsia="黑体"/>
          <w:sz w:val="32"/>
        </w:rPr>
      </w:pPr>
      <w:r>
        <w:rPr>
          <w:rFonts w:ascii="黑体" w:eastAsia="黑体"/>
          <w:sz w:val="32"/>
        </w:rPr>
        <w:t>一、主要职责</w:t>
      </w:r>
    </w:p>
    <w:p w14:paraId="4E71DD58">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贯彻执行国家财税方针、政策和法律、法规及省、市 </w:t>
      </w:r>
    </w:p>
    <w:p w14:paraId="542F8B09">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有关要求，拟订全区财税规划、政策和改革方案并组织实施，提 出运用财税政策实施宏观调控和综合平衡社会财力的建议，完善促进社会经济发展的财税政策。 </w:t>
      </w:r>
    </w:p>
    <w:p w14:paraId="516F8F82">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贯彻执行国家有关国有资产管理的政策、法律、法规和规章制度及省、市有关要求，研究制定本区行政事业单位国有 </w:t>
      </w:r>
    </w:p>
    <w:p w14:paraId="2AA54D0B">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资产管理的实施细则和规范文件，并组织实施，对行政事业单位 国有资产进行监督管理。负责审核和汇总编制全区国有资本经营预决算草案，制定国有资本经营预算的制度和办法，监缴区本级企业国有资本收益，贯彻国家企业财务管理法规和制度及省、市 有关要求。负责区本级行政事业单位因公出国（境）经费管理。 </w:t>
      </w:r>
    </w:p>
    <w:p w14:paraId="2978AD1E">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制定全区财政发展计划，以及预算、税收、基本建设财务等有关制度；编制年度全区预算草案并组织执行；受区政府 委托，向区人民代表大会报告全区年度财政预算及其执行情况， 向区人大常委会报告财政决算；负责全区各项财政收支管理工作； 管理区级各项财政收入</w:t>
      </w:r>
      <w:r>
        <w:rPr>
          <w:rFonts w:hint="eastAsia" w:ascii="仿宋_GB2312" w:hAnsi="仿宋_GB2312" w:eastAsia="仿宋_GB2312" w:cs="仿宋_GB2312"/>
          <w:color w:val="auto"/>
          <w:kern w:val="0"/>
          <w:sz w:val="31"/>
          <w:szCs w:val="31"/>
          <w:lang w:bidi="ar"/>
        </w:rPr>
        <w:t>，</w:t>
      </w:r>
      <w:r>
        <w:rPr>
          <w:rFonts w:ascii="仿宋_GB2312" w:hAnsi="仿宋_GB2312" w:eastAsia="仿宋_GB2312" w:cs="仿宋_GB2312"/>
          <w:color w:val="auto"/>
          <w:kern w:val="0"/>
          <w:sz w:val="31"/>
          <w:szCs w:val="31"/>
          <w:lang w:bidi="ar"/>
        </w:rPr>
        <w:t xml:space="preserve">管理区级预算外资金和财政专户；管理有关政府性基金。 </w:t>
      </w:r>
    </w:p>
    <w:p w14:paraId="3DBDE762">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负责全区政府非税收入管理，按规定管理行政事业性收费、政府性基金及其他非税收入；负责全区财政票据管理工作。 </w:t>
      </w:r>
    </w:p>
    <w:p w14:paraId="57521677">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组织制定全区财政国库管理制度，按规定管理国库及各财政专户资金。 </w:t>
      </w:r>
    </w:p>
    <w:p w14:paraId="4A67F730">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负责办理和监管政府性投资项目财政拨款，制定基本建设财务制度，负责有关政策性补贴管理工作。 </w:t>
      </w:r>
    </w:p>
    <w:p w14:paraId="39CF3C9B">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贯彻执行国家关于政府性债务管理的相关制度、政策及省、市有关要求；管理全区政府性债务，制定相关管理制度和办法；对全区政府性债务进行统计、汇总、分析，防范债务风险。 </w:t>
      </w:r>
    </w:p>
    <w:p w14:paraId="19D8A9F4">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rFonts w:ascii="仿宋_GB2312" w:hAnsi="仿宋_GB2312" w:eastAsia="仿宋_GB2312" w:cs="仿宋_GB2312"/>
          <w:color w:val="auto"/>
          <w:kern w:val="0"/>
          <w:sz w:val="31"/>
          <w:szCs w:val="31"/>
          <w:lang w:bidi="ar"/>
        </w:rPr>
      </w:pPr>
      <w:r>
        <w:rPr>
          <w:rFonts w:ascii="仿宋_GB2312" w:hAnsi="仿宋_GB2312" w:eastAsia="仿宋_GB2312" w:cs="仿宋_GB2312"/>
          <w:color w:val="auto"/>
          <w:kern w:val="0"/>
          <w:sz w:val="31"/>
          <w:szCs w:val="31"/>
          <w:lang w:bidi="ar"/>
        </w:rPr>
        <w:t>负责制定全区政府采购制度，监督管理采购活动，监督和规范会计行为，组织实施会计人员培训。</w:t>
      </w:r>
    </w:p>
    <w:p w14:paraId="3175BFE7">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rFonts w:ascii="仿宋_GB2312" w:hAnsi="仿宋_GB2312" w:eastAsia="仿宋_GB2312" w:cs="仿宋_GB2312"/>
          <w:color w:val="auto"/>
          <w:kern w:val="0"/>
          <w:sz w:val="31"/>
          <w:szCs w:val="31"/>
          <w:lang w:bidi="ar"/>
        </w:rPr>
      </w:pPr>
      <w:r>
        <w:rPr>
          <w:rFonts w:ascii="仿宋_GB2312" w:hAnsi="仿宋_GB2312" w:eastAsia="仿宋_GB2312" w:cs="仿宋_GB2312"/>
          <w:color w:val="auto"/>
          <w:kern w:val="0"/>
          <w:sz w:val="31"/>
          <w:szCs w:val="31"/>
          <w:lang w:bidi="ar"/>
        </w:rPr>
        <w:t xml:space="preserve">根据应急管理工作需要，落实区本级应急管理专项资金预算安排，支持政府安全生产监管体系建设，监督区本级应急管理专项资金的使用。 </w:t>
      </w:r>
    </w:p>
    <w:p w14:paraId="7D0CD27E">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负责街道财政管理工作，监管街道财政性资金内部核算及使用管理、资产管理、债务管理等工作。 </w:t>
      </w:r>
    </w:p>
    <w:p w14:paraId="000B7B12">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推动建立完善的金融服务体系，协调指导全区地方法人金融机构加快发展及深化改革工作；贯彻落实我区多层次资本市场建设的相关政策、规划和措施，贯彻落实推进企业上市的政策措施；贯彻落实我区互联网金融行业规范发展政策措施</w:t>
      </w:r>
      <w:r>
        <w:rPr>
          <w:rFonts w:hint="eastAsia" w:ascii="仿宋_GB2312" w:hAnsi="仿宋_GB2312" w:eastAsia="仿宋_GB2312" w:cs="仿宋_GB2312"/>
          <w:color w:val="auto"/>
          <w:kern w:val="0"/>
          <w:sz w:val="31"/>
          <w:szCs w:val="31"/>
          <w:lang w:bidi="ar"/>
        </w:rPr>
        <w:t>，</w:t>
      </w:r>
      <w:r>
        <w:rPr>
          <w:rFonts w:ascii="仿宋_GB2312" w:hAnsi="仿宋_GB2312" w:eastAsia="仿宋_GB2312" w:cs="仿宋_GB2312"/>
          <w:color w:val="auto"/>
          <w:kern w:val="0"/>
          <w:sz w:val="31"/>
          <w:szCs w:val="31"/>
          <w:lang w:bidi="ar"/>
        </w:rPr>
        <w:t xml:space="preserve">统筹政府性融资项目和投融资行为的监督、管理、指导等工作；负责区域内金融机构的扶持、管理、协调和服务工作；支持我区经济社会发展建设；按规定管理政策性金融业务，承担金融方面财政补贴资金管理工作；承担与上级金融管理部门、各类金融机构的沟通协调、信息交流和服务等工作。 </w:t>
      </w:r>
    </w:p>
    <w:p w14:paraId="699C33ED">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规范区人才专项资金的管理和使用。负责配合区委组织部研究制定区人才专项资金使用、审批流程，做好经费保障工作。</w:t>
      </w:r>
    </w:p>
    <w:p w14:paraId="5CBCF036">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积极落实区政府对安全生产工作的安排，认真履行财政部门的工作职责；健全安全生产监管执法经费保障机制，将安全生产监管执法的人员经费和专项资金纳入同级财政保障围，并保证其专款专用；承担区安委会交办的其他安全生产工作任务。 </w:t>
      </w:r>
    </w:p>
    <w:p w14:paraId="48CBAAA3">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加强环境保护、党组织建设工作职责。 </w:t>
      </w:r>
    </w:p>
    <w:p w14:paraId="53A0AFDF">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 xml:space="preserve">本部门权责清单和政务服务事项清单在区政府门户网站上公布。 </w:t>
      </w:r>
    </w:p>
    <w:p w14:paraId="5FF3C46D">
      <w:pPr>
        <w:keepNext w:val="0"/>
        <w:keepLines w:val="0"/>
        <w:pageBreakBefore w:val="0"/>
        <w:widowControl/>
        <w:numPr>
          <w:ilvl w:val="0"/>
          <w:numId w:val="1"/>
        </w:numPr>
        <w:kinsoku/>
        <w:wordWrap/>
        <w:overflowPunct/>
        <w:topLinePunct w:val="0"/>
        <w:autoSpaceDE/>
        <w:bidi w:val="0"/>
        <w:adjustRightInd/>
        <w:snapToGrid/>
        <w:ind w:left="0" w:leftChars="0" w:firstLine="420" w:firstLineChars="0"/>
        <w:jc w:val="left"/>
        <w:textAlignment w:val="auto"/>
        <w:rPr>
          <w:color w:val="auto"/>
        </w:rPr>
      </w:pPr>
      <w:r>
        <w:rPr>
          <w:rFonts w:ascii="仿宋_GB2312" w:hAnsi="仿宋_GB2312" w:eastAsia="仿宋_GB2312" w:cs="仿宋_GB2312"/>
          <w:color w:val="auto"/>
          <w:kern w:val="0"/>
          <w:sz w:val="31"/>
          <w:szCs w:val="31"/>
          <w:lang w:bidi="ar"/>
        </w:rPr>
        <w:t>完成区委、区政府交办的其他任务</w:t>
      </w:r>
    </w:p>
    <w:p w14:paraId="74C5E9E8">
      <w:pPr>
        <w:pStyle w:val="6"/>
        <w:spacing w:line="560" w:lineRule="exact"/>
        <w:ind w:firstLine="640"/>
        <w:rPr>
          <w:rFonts w:hint="default" w:ascii="黑体" w:eastAsia="黑体"/>
          <w:sz w:val="32"/>
        </w:rPr>
      </w:pPr>
      <w:r>
        <w:rPr>
          <w:rFonts w:ascii="黑体" w:eastAsia="黑体"/>
          <w:sz w:val="32"/>
        </w:rPr>
        <w:t>二、决算单位构成</w:t>
      </w:r>
    </w:p>
    <w:p w14:paraId="6A3DE418">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浑南区财政局</w:t>
      </w:r>
      <w:r>
        <w:rPr>
          <w:rFonts w:ascii="仿宋_GB2312" w:eastAsia="仿宋_GB2312"/>
          <w:b w:val="0"/>
          <w:bCs w:val="0"/>
          <w:color w:val="auto"/>
          <w:sz w:val="32"/>
          <w:szCs w:val="32"/>
        </w:rPr>
        <w:t>本级，本单位无下设机构。</w:t>
      </w:r>
    </w:p>
    <w:p w14:paraId="3F14C5BC">
      <w:pPr>
        <w:pStyle w:val="6"/>
        <w:spacing w:line="560" w:lineRule="exact"/>
        <w:jc w:val="center"/>
        <w:rPr>
          <w:rFonts w:hint="default"/>
          <w:b/>
          <w:sz w:val="36"/>
        </w:rPr>
      </w:pPr>
      <w:r>
        <w:rPr>
          <w:b/>
          <w:sz w:val="36"/>
        </w:rPr>
        <w:t xml:space="preserve">第二部分 </w:t>
      </w:r>
      <w:r>
        <w:rPr>
          <w:rFonts w:hint="eastAsia"/>
          <w:b/>
          <w:sz w:val="36"/>
          <w:lang w:val="en-US" w:eastAsia="zh-CN"/>
        </w:rPr>
        <w:t>浑南区财政局</w:t>
      </w:r>
      <w:r>
        <w:rPr>
          <w:b/>
          <w:sz w:val="36"/>
        </w:rPr>
        <w:t>202</w:t>
      </w:r>
      <w:r>
        <w:rPr>
          <w:rFonts w:hint="eastAsia"/>
          <w:b/>
          <w:sz w:val="36"/>
          <w:lang w:val="en-US" w:eastAsia="zh-CN"/>
        </w:rPr>
        <w:t>2</w:t>
      </w:r>
      <w:r>
        <w:rPr>
          <w:b/>
          <w:sz w:val="36"/>
        </w:rPr>
        <w:t>年决算情况说明</w:t>
      </w:r>
    </w:p>
    <w:p w14:paraId="679162B1">
      <w:pPr>
        <w:pStyle w:val="6"/>
        <w:spacing w:line="560" w:lineRule="exact"/>
        <w:ind w:firstLine="640" w:firstLineChars="200"/>
        <w:rPr>
          <w:rFonts w:hint="default" w:ascii="黑体" w:eastAsia="黑体"/>
          <w:sz w:val="32"/>
        </w:rPr>
      </w:pPr>
    </w:p>
    <w:p w14:paraId="42E0600D">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3FB0CB8D">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760.16</w:t>
      </w:r>
      <w:r>
        <w:rPr>
          <w:rFonts w:ascii="楷体_GB2312" w:eastAsia="楷体_GB2312"/>
          <w:b/>
          <w:sz w:val="32"/>
        </w:rPr>
        <w:t>万元，包括：</w:t>
      </w:r>
    </w:p>
    <w:p w14:paraId="66616600">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760.16</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760.16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7DEB7DDC">
      <w:pPr>
        <w:pStyle w:val="6"/>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，与上年持平。</w:t>
      </w:r>
    </w:p>
    <w:p w14:paraId="26AC17F4">
      <w:pPr>
        <w:pStyle w:val="6"/>
        <w:spacing w:line="560" w:lineRule="exact"/>
        <w:ind w:firstLine="660"/>
        <w:rPr>
          <w:rFonts w:ascii="仿宋_GB2312" w:eastAsia="仿宋_GB2312"/>
          <w:sz w:val="32"/>
        </w:rPr>
      </w:pPr>
      <w:r>
        <w:rPr>
          <w:rFonts w:ascii="仿宋_GB2312" w:eastAsia="仿宋_GB2312"/>
          <w:sz w:val="32"/>
        </w:rPr>
        <w:t>与上年相比，今年收入</w:t>
      </w:r>
      <w:r>
        <w:rPr>
          <w:rFonts w:hint="eastAsia" w:ascii="仿宋_GB2312" w:eastAsia="仿宋_GB2312"/>
          <w:sz w:val="32"/>
          <w:lang w:eastAsia="zh-CN"/>
        </w:rPr>
        <w:t>增加</w:t>
      </w:r>
      <w:r>
        <w:rPr>
          <w:rFonts w:hint="eastAsia" w:ascii="仿宋_GB2312" w:eastAsia="仿宋_GB2312"/>
          <w:sz w:val="32"/>
          <w:lang w:val="en-US" w:eastAsia="zh-CN"/>
        </w:rPr>
        <w:t>35.93</w:t>
      </w:r>
      <w:r>
        <w:rPr>
          <w:rFonts w:ascii="仿宋_GB2312" w:eastAsia="仿宋_GB2312"/>
          <w:sz w:val="32"/>
        </w:rPr>
        <w:t>万元，</w:t>
      </w:r>
      <w:r>
        <w:rPr>
          <w:rFonts w:hint="eastAsia" w:ascii="仿宋_GB2312" w:eastAsia="仿宋_GB2312"/>
          <w:sz w:val="32"/>
          <w:lang w:eastAsia="zh-CN"/>
        </w:rPr>
        <w:t>增长</w:t>
      </w:r>
      <w:r>
        <w:rPr>
          <w:rFonts w:hint="eastAsia" w:ascii="仿宋_GB2312" w:eastAsia="仿宋_GB2312"/>
          <w:sz w:val="32"/>
          <w:lang w:val="en-US" w:eastAsia="zh-CN"/>
        </w:rPr>
        <w:t>5</w:t>
      </w:r>
      <w:r>
        <w:rPr>
          <w:rFonts w:ascii="仿宋_GB2312" w:eastAsia="仿宋_GB2312"/>
          <w:sz w:val="32"/>
        </w:rPr>
        <w:t>%，主要原因：</w:t>
      </w:r>
      <w:r>
        <w:rPr>
          <w:rFonts w:hint="eastAsia" w:ascii="仿宋_GB2312" w:eastAsia="仿宋_GB2312"/>
          <w:sz w:val="32"/>
          <w:lang w:eastAsia="zh-CN"/>
        </w:rPr>
        <w:t>工资津贴增加</w:t>
      </w:r>
      <w:r>
        <w:rPr>
          <w:rFonts w:ascii="仿宋_GB2312" w:eastAsia="仿宋_GB2312"/>
          <w:sz w:val="32"/>
        </w:rPr>
        <w:t>。</w:t>
      </w:r>
    </w:p>
    <w:p w14:paraId="32CD2B44">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760.16</w:t>
      </w:r>
      <w:r>
        <w:rPr>
          <w:rFonts w:ascii="楷体_GB2312" w:eastAsia="楷体_GB2312"/>
          <w:b/>
          <w:sz w:val="32"/>
        </w:rPr>
        <w:t>万元，包括：</w:t>
      </w:r>
    </w:p>
    <w:p w14:paraId="26100875">
      <w:pPr>
        <w:pStyle w:val="6"/>
        <w:numPr>
          <w:ilvl w:val="0"/>
          <w:numId w:val="0"/>
        </w:numPr>
        <w:spacing w:line="560" w:lineRule="exact"/>
        <w:ind w:firstLine="640" w:firstLineChars="200"/>
        <w:rPr>
          <w:rFonts w:hint="default" w:ascii="仿宋_GB2312" w:eastAsia="仿宋_GB2312"/>
          <w:sz w:val="32"/>
          <w:lang w:val="en-US" w:eastAsia="zh-CN"/>
        </w:rPr>
      </w:pPr>
      <w:r>
        <w:rPr>
          <w:rFonts w:ascii="仿宋_GB2312" w:eastAsia="仿宋_GB2312"/>
          <w:sz w:val="32"/>
        </w:rPr>
        <w:t>1.基本支出</w:t>
      </w:r>
      <w:r>
        <w:rPr>
          <w:rFonts w:hint="eastAsia" w:ascii="仿宋_GB2312" w:eastAsia="仿宋_GB2312"/>
          <w:sz w:val="32"/>
        </w:rPr>
        <w:t>560.55</w:t>
      </w:r>
      <w:r>
        <w:rPr>
          <w:rFonts w:ascii="仿宋_GB2312" w:eastAsia="仿宋_GB2312"/>
          <w:sz w:val="32"/>
        </w:rPr>
        <w:t>万元，占支出总计的</w:t>
      </w:r>
      <w:r>
        <w:rPr>
          <w:rFonts w:hint="eastAsia" w:ascii="仿宋_GB2312" w:eastAsia="仿宋_GB2312"/>
          <w:sz w:val="32"/>
          <w:lang w:val="en-US" w:eastAsia="zh-CN"/>
        </w:rPr>
        <w:t>73.7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502.78</w:t>
      </w:r>
      <w:r>
        <w:rPr>
          <w:rFonts w:ascii="仿宋_GB2312" w:eastAsia="仿宋_GB2312"/>
          <w:sz w:val="32"/>
        </w:rPr>
        <w:t>万元，对个人和家庭的补助支出</w:t>
      </w:r>
      <w:r>
        <w:rPr>
          <w:rFonts w:hint="eastAsia" w:ascii="仿宋_GB2312" w:eastAsia="仿宋_GB2312"/>
          <w:sz w:val="32"/>
        </w:rPr>
        <w:t>11.83</w:t>
      </w:r>
      <w:r>
        <w:rPr>
          <w:rFonts w:ascii="仿宋_GB2312" w:eastAsia="仿宋_GB2312"/>
          <w:sz w:val="32"/>
        </w:rPr>
        <w:t>万元，商品和服务支出</w:t>
      </w:r>
      <w:r>
        <w:rPr>
          <w:rFonts w:hint="eastAsia" w:ascii="仿宋_GB2312" w:eastAsia="仿宋_GB2312"/>
          <w:sz w:val="32"/>
        </w:rPr>
        <w:t>45.57</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0.37</w:t>
      </w:r>
      <w:r>
        <w:rPr>
          <w:rFonts w:ascii="仿宋_GB2312" w:eastAsia="仿宋_GB2312"/>
          <w:sz w:val="32"/>
        </w:rPr>
        <w:t>。</w:t>
      </w:r>
    </w:p>
    <w:p w14:paraId="40F0B869">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199.61</w:t>
      </w:r>
      <w:r>
        <w:rPr>
          <w:rFonts w:ascii="仿宋_GB2312" w:eastAsia="仿宋_GB2312"/>
          <w:sz w:val="32"/>
        </w:rPr>
        <w:t>万元，占支出总计的</w:t>
      </w:r>
      <w:r>
        <w:rPr>
          <w:rFonts w:hint="eastAsia" w:ascii="仿宋_GB2312" w:eastAsia="仿宋_GB2312"/>
          <w:sz w:val="32"/>
          <w:lang w:val="en-US" w:eastAsia="zh-CN"/>
        </w:rPr>
        <w:t>26.3</w:t>
      </w:r>
      <w:r>
        <w:rPr>
          <w:rFonts w:ascii="仿宋_GB2312" w:eastAsia="仿宋_GB2312"/>
          <w:sz w:val="32"/>
        </w:rPr>
        <w:t>%。主要包括</w:t>
      </w:r>
      <w:r>
        <w:rPr>
          <w:rFonts w:hint="eastAsia" w:ascii="仿宋_GB2312" w:eastAsia="仿宋_GB2312"/>
          <w:sz w:val="32"/>
          <w:lang w:eastAsia="zh-CN"/>
        </w:rPr>
        <w:t>软件服务费和一体化项目</w:t>
      </w:r>
      <w:r>
        <w:rPr>
          <w:rFonts w:ascii="仿宋_GB2312" w:eastAsia="仿宋_GB2312"/>
          <w:sz w:val="32"/>
        </w:rPr>
        <w:t>等业务支出。</w:t>
      </w:r>
    </w:p>
    <w:p w14:paraId="151CF09B">
      <w:pPr>
        <w:pStyle w:val="6"/>
        <w:spacing w:line="560" w:lineRule="exact"/>
        <w:ind w:firstLine="660"/>
        <w:rPr>
          <w:rFonts w:hint="eastAsia" w:ascii="黑体" w:hAnsi="黑体" w:eastAsia="仿宋_GB2312" w:cs="黑体"/>
          <w:b/>
          <w:bCs/>
          <w:color w:val="FF0000"/>
          <w:sz w:val="32"/>
          <w:szCs w:val="32"/>
          <w:lang w:eastAsia="zh-CN"/>
        </w:rPr>
      </w:pPr>
      <w:r>
        <w:rPr>
          <w:rFonts w:ascii="仿宋_GB2312" w:eastAsia="仿宋_GB2312"/>
          <w:sz w:val="32"/>
        </w:rPr>
        <w:t>与上年相比，今年支出</w:t>
      </w:r>
      <w:r>
        <w:rPr>
          <w:rFonts w:hint="eastAsia" w:ascii="仿宋_GB2312" w:eastAsia="仿宋_GB2312"/>
          <w:sz w:val="32"/>
          <w:lang w:eastAsia="zh-CN"/>
        </w:rPr>
        <w:t>增加</w:t>
      </w:r>
      <w:r>
        <w:rPr>
          <w:rFonts w:hint="eastAsia" w:ascii="仿宋_GB2312" w:eastAsia="仿宋_GB2312"/>
          <w:sz w:val="32"/>
          <w:lang w:val="en-US" w:eastAsia="zh-CN"/>
        </w:rPr>
        <w:t>35.93</w:t>
      </w:r>
      <w:r>
        <w:rPr>
          <w:rFonts w:ascii="仿宋_GB2312" w:eastAsia="仿宋_GB2312"/>
          <w:sz w:val="32"/>
        </w:rPr>
        <w:t>万元，</w:t>
      </w:r>
      <w:r>
        <w:rPr>
          <w:rFonts w:hint="eastAsia" w:ascii="仿宋_GB2312" w:eastAsia="仿宋_GB2312"/>
          <w:sz w:val="32"/>
          <w:lang w:eastAsia="zh-CN"/>
        </w:rPr>
        <w:t>增加</w:t>
      </w:r>
      <w:r>
        <w:rPr>
          <w:rFonts w:hint="eastAsia" w:ascii="仿宋_GB2312" w:eastAsia="仿宋_GB2312"/>
          <w:sz w:val="32"/>
          <w:lang w:val="en-US" w:eastAsia="zh-CN"/>
        </w:rPr>
        <w:t>4.7</w:t>
      </w:r>
      <w:r>
        <w:rPr>
          <w:rFonts w:ascii="仿宋_GB2312" w:eastAsia="仿宋_GB2312"/>
          <w:sz w:val="32"/>
        </w:rPr>
        <w:t>%，主要原因：</w:t>
      </w:r>
      <w:r>
        <w:rPr>
          <w:rFonts w:hint="eastAsia" w:ascii="仿宋_GB2312" w:eastAsia="仿宋_GB2312"/>
          <w:sz w:val="32"/>
          <w:lang w:eastAsia="zh-CN"/>
        </w:rPr>
        <w:t>工资和津贴补贴增加。</w:t>
      </w:r>
    </w:p>
    <w:p w14:paraId="488628DD">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2DEF3E20">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与上年相比，今年结转结余减少</w:t>
      </w:r>
      <w:r>
        <w:rPr>
          <w:rFonts w:hint="eastAsia" w:ascii="仿宋_GB2312" w:eastAsia="仿宋_GB2312"/>
          <w:sz w:val="32"/>
          <w:lang w:val="en-US" w:eastAsia="zh-CN"/>
        </w:rPr>
        <w:t>27.5</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eastAsia="zh-CN"/>
        </w:rPr>
        <w:t>绩效评价款已付。</w:t>
      </w:r>
    </w:p>
    <w:p w14:paraId="71DF12BC">
      <w:pPr>
        <w:pStyle w:val="6"/>
        <w:spacing w:line="560" w:lineRule="exact"/>
        <w:ind w:firstLine="660"/>
        <w:rPr>
          <w:rFonts w:hint="eastAsia" w:ascii="仿宋_GB2312" w:eastAsia="仿宋_GB2312"/>
          <w:sz w:val="32"/>
          <w:lang w:eastAsia="zh-CN"/>
        </w:rPr>
      </w:pPr>
    </w:p>
    <w:p w14:paraId="38B09483">
      <w:pPr>
        <w:pStyle w:val="6"/>
        <w:spacing w:line="560" w:lineRule="exact"/>
        <w:ind w:firstLine="660"/>
        <w:rPr>
          <w:rFonts w:hint="eastAsia" w:ascii="仿宋_GB2312" w:eastAsia="仿宋_GB2312"/>
          <w:sz w:val="32"/>
          <w:lang w:eastAsia="zh-CN"/>
        </w:rPr>
      </w:pPr>
    </w:p>
    <w:p w14:paraId="498FA220">
      <w:pPr>
        <w:pStyle w:val="6"/>
        <w:numPr>
          <w:ilvl w:val="0"/>
          <w:numId w:val="3"/>
        </w:numPr>
        <w:spacing w:line="560" w:lineRule="exact"/>
        <w:ind w:firstLine="660"/>
        <w:rPr>
          <w:rFonts w:ascii="黑体" w:eastAsia="黑体"/>
          <w:sz w:val="32"/>
        </w:rPr>
      </w:pPr>
      <w:r>
        <w:rPr>
          <w:rFonts w:ascii="黑体" w:eastAsia="黑体"/>
          <w:sz w:val="32"/>
        </w:rPr>
        <w:t>财政拨款收入支出决算情况说明</w:t>
      </w:r>
    </w:p>
    <w:p w14:paraId="2BE99A7E">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1E325A9D">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760.16</w:t>
      </w:r>
      <w:r>
        <w:rPr>
          <w:rFonts w:ascii="仿宋_GB2312" w:eastAsia="仿宋_GB2312"/>
          <w:sz w:val="32"/>
        </w:rPr>
        <w:t>万元，其中：基本支出</w:t>
      </w:r>
      <w:r>
        <w:rPr>
          <w:rFonts w:hint="eastAsia" w:ascii="仿宋_GB2312" w:eastAsia="仿宋_GB2312"/>
          <w:sz w:val="32"/>
          <w:lang w:val="en-US" w:eastAsia="zh-CN"/>
        </w:rPr>
        <w:t>560.55</w:t>
      </w:r>
      <w:r>
        <w:rPr>
          <w:rFonts w:ascii="仿宋_GB2312" w:eastAsia="仿宋_GB2312"/>
          <w:sz w:val="32"/>
        </w:rPr>
        <w:t>万元，项目支出</w:t>
      </w:r>
      <w:r>
        <w:rPr>
          <w:rFonts w:hint="eastAsia" w:ascii="仿宋_GB2312" w:eastAsia="仿宋_GB2312"/>
          <w:sz w:val="32"/>
          <w:lang w:val="en-US" w:eastAsia="zh-CN"/>
        </w:rPr>
        <w:t>199.61</w:t>
      </w:r>
      <w:r>
        <w:rPr>
          <w:rFonts w:ascii="仿宋_GB2312" w:eastAsia="仿宋_GB2312"/>
          <w:sz w:val="32"/>
        </w:rPr>
        <w:t>万元。与上年相比，财政拨款支出增加</w:t>
      </w:r>
      <w:r>
        <w:rPr>
          <w:rFonts w:hint="eastAsia" w:ascii="仿宋_GB2312" w:eastAsia="仿宋_GB2312"/>
          <w:sz w:val="32"/>
          <w:lang w:val="en-US" w:eastAsia="zh-CN"/>
        </w:rPr>
        <w:t>35.93</w:t>
      </w:r>
      <w:r>
        <w:rPr>
          <w:rFonts w:ascii="仿宋_GB2312" w:eastAsia="仿宋_GB2312"/>
          <w:sz w:val="32"/>
        </w:rPr>
        <w:t>万元，增长</w:t>
      </w:r>
      <w:r>
        <w:rPr>
          <w:rFonts w:hint="eastAsia" w:ascii="仿宋_GB2312" w:eastAsia="仿宋_GB2312"/>
          <w:sz w:val="32"/>
          <w:lang w:val="en-US" w:eastAsia="zh-CN"/>
        </w:rPr>
        <w:t>4.9%</w:t>
      </w:r>
      <w:r>
        <w:rPr>
          <w:rFonts w:ascii="仿宋_GB2312" w:eastAsia="仿宋_GB2312"/>
          <w:sz w:val="32"/>
        </w:rPr>
        <w:t>，主要原因：</w:t>
      </w:r>
      <w:r>
        <w:rPr>
          <w:rFonts w:hint="eastAsia" w:ascii="仿宋_GB2312" w:eastAsia="仿宋_GB2312"/>
          <w:sz w:val="32"/>
          <w:lang w:eastAsia="zh-CN"/>
        </w:rPr>
        <w:t>增加工资和津贴补贴</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14:paraId="6937A92B">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14:paraId="5D5B9A62">
      <w:pPr>
        <w:numPr>
          <w:ilvl w:val="0"/>
          <w:numId w:val="2"/>
        </w:numPr>
        <w:spacing w:line="560" w:lineRule="exact"/>
        <w:ind w:left="0" w:leftChars="0" w:firstLine="660" w:firstLineChars="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760.16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620.14</w:t>
      </w:r>
      <w:r>
        <w:rPr>
          <w:rFonts w:ascii="仿宋_GB2312" w:hAnsi="宋体" w:eastAsia="仿宋_GB2312"/>
          <w:sz w:val="32"/>
          <w:szCs w:val="32"/>
        </w:rPr>
        <w:t>万元，占</w:t>
      </w:r>
      <w:r>
        <w:rPr>
          <w:rFonts w:hint="eastAsia" w:ascii="仿宋_GB2312" w:hAnsi="宋体" w:eastAsia="仿宋_GB2312"/>
          <w:sz w:val="32"/>
          <w:szCs w:val="32"/>
          <w:lang w:val="en-US" w:eastAsia="zh-CN"/>
        </w:rPr>
        <w:t>81.6</w:t>
      </w:r>
      <w:r>
        <w:rPr>
          <w:rFonts w:ascii="仿宋_GB2312" w:hAnsi="宋体" w:eastAsia="仿宋_GB2312"/>
          <w:sz w:val="32"/>
          <w:szCs w:val="32"/>
        </w:rPr>
        <w:t>%；</w:t>
      </w:r>
      <w:r>
        <w:rPr>
          <w:rFonts w:hint="eastAsia" w:ascii="仿宋_GB2312" w:hAnsi="宋体" w:eastAsia="仿宋_GB2312"/>
          <w:sz w:val="32"/>
          <w:szCs w:val="32"/>
        </w:rPr>
        <w:t>社会保障和就业支出62.62</w:t>
      </w:r>
      <w:r>
        <w:rPr>
          <w:rFonts w:hint="eastAsia" w:ascii="仿宋_GB2312" w:hAnsi="宋体" w:eastAsia="仿宋_GB2312"/>
          <w:sz w:val="32"/>
          <w:szCs w:val="32"/>
          <w:lang w:eastAsia="zh-CN"/>
        </w:rPr>
        <w:t>万元，占</w:t>
      </w:r>
      <w:r>
        <w:rPr>
          <w:rFonts w:hint="eastAsia" w:ascii="仿宋_GB2312" w:hAnsi="宋体" w:eastAsia="仿宋_GB2312"/>
          <w:sz w:val="32"/>
          <w:szCs w:val="32"/>
          <w:lang w:val="en-US" w:eastAsia="zh-CN"/>
        </w:rPr>
        <w:t>8.2%，卫生健康支出17.36万元，占2.3%，住房保障支出60.04万元，占7.9%</w:t>
      </w:r>
      <w:r>
        <w:rPr>
          <w:rFonts w:ascii="仿宋_GB2312" w:hAnsi="宋体" w:eastAsia="仿宋_GB2312"/>
          <w:sz w:val="32"/>
          <w:szCs w:val="32"/>
        </w:rPr>
        <w:t>。</w:t>
      </w:r>
    </w:p>
    <w:p w14:paraId="70FA12A5">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rPr>
        <w:t>620.14</w:t>
      </w:r>
      <w:r>
        <w:rPr>
          <w:rFonts w:ascii="仿宋_GB2312" w:hAnsi="宋体" w:eastAsia="仿宋_GB2312"/>
          <w:sz w:val="32"/>
          <w:szCs w:val="32"/>
        </w:rPr>
        <w:t>万元，具体包括：</w:t>
      </w:r>
    </w:p>
    <w:p w14:paraId="017CB1E7">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hAnsi="宋体" w:eastAsia="仿宋_GB2312"/>
          <w:color w:val="auto"/>
          <w:sz w:val="32"/>
          <w:szCs w:val="32"/>
          <w:lang w:val="en-US" w:eastAsia="zh-CN"/>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420.52</w:t>
      </w:r>
      <w:r>
        <w:rPr>
          <w:rFonts w:ascii="仿宋_GB2312" w:hAnsi="宋体" w:eastAsia="仿宋_GB2312"/>
          <w:sz w:val="32"/>
          <w:szCs w:val="32"/>
        </w:rPr>
        <w:t>万元，主要是</w:t>
      </w:r>
      <w:r>
        <w:rPr>
          <w:rFonts w:hint="eastAsia" w:ascii="仿宋_GB2312" w:hAnsi="宋体" w:eastAsia="仿宋_GB2312"/>
          <w:sz w:val="32"/>
          <w:szCs w:val="32"/>
          <w:lang w:eastAsia="zh-CN"/>
        </w:rPr>
        <w:t>工资津贴</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color w:val="auto"/>
          <w:sz w:val="32"/>
          <w:szCs w:val="32"/>
          <w:lang w:val="en-US" w:eastAsia="zh-CN"/>
        </w:rPr>
        <w:t>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14:paraId="64BC087B">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ascii="仿宋_GB2312" w:hAnsi="宋体" w:eastAsia="仿宋_GB2312"/>
          <w:sz w:val="32"/>
          <w:szCs w:val="32"/>
        </w:rPr>
        <w:t>（2）</w:t>
      </w:r>
      <w:r>
        <w:rPr>
          <w:rFonts w:hint="eastAsia" w:ascii="仿宋_GB2312" w:hAnsi="宋体" w:eastAsia="仿宋_GB2312"/>
          <w:color w:val="auto"/>
          <w:sz w:val="32"/>
          <w:szCs w:val="32"/>
        </w:rPr>
        <w:t>一般公共服务支出（类）财政事务（款）</w:t>
      </w:r>
      <w:bookmarkStart w:id="0" w:name="_GoBack"/>
      <w:bookmarkEnd w:id="0"/>
      <w:r>
        <w:rPr>
          <w:rFonts w:hint="eastAsia" w:ascii="仿宋_GB2312" w:hAnsi="宋体" w:eastAsia="仿宋_GB2312"/>
          <w:color w:val="auto"/>
          <w:sz w:val="32"/>
          <w:szCs w:val="32"/>
          <w:lang w:eastAsia="zh-CN"/>
        </w:rPr>
        <w:t>一般行政管理事务</w:t>
      </w:r>
      <w:r>
        <w:rPr>
          <w:rFonts w:hint="eastAsia" w:ascii="仿宋_GB2312" w:hAnsi="宋体" w:eastAsia="仿宋_GB2312"/>
          <w:color w:val="auto"/>
          <w:sz w:val="32"/>
          <w:szCs w:val="32"/>
        </w:rPr>
        <w:t>（项）</w:t>
      </w:r>
      <w:r>
        <w:rPr>
          <w:rFonts w:hint="eastAsia" w:ascii="仿宋_GB2312" w:hAnsi="宋体" w:eastAsia="仿宋_GB2312"/>
          <w:sz w:val="32"/>
          <w:szCs w:val="32"/>
          <w:lang w:val="en-US" w:eastAsia="zh-CN"/>
        </w:rPr>
        <w:t>136.31万元，主要用于</w:t>
      </w:r>
      <w:r>
        <w:rPr>
          <w:rFonts w:hint="eastAsia" w:ascii="仿宋_GB2312" w:hAnsi="宋体" w:eastAsia="仿宋_GB2312"/>
          <w:color w:val="auto"/>
          <w:sz w:val="32"/>
          <w:szCs w:val="32"/>
          <w:lang w:eastAsia="zh-CN"/>
        </w:rPr>
        <w:t>绩效评价服务费和系统服务费，</w:t>
      </w:r>
      <w:r>
        <w:rPr>
          <w:rFonts w:hint="eastAsia" w:ascii="仿宋_GB2312" w:hAnsi="宋体" w:eastAsia="仿宋_GB2312"/>
          <w:color w:val="auto"/>
          <w:sz w:val="32"/>
          <w:szCs w:val="32"/>
        </w:rPr>
        <w:t>完成年初预算100%，因各项支出均按预算执行，因此100%完成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58E6FC00">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(3)一般公共服务支出（类）财政事务（款）财政国库业务（项）</w:t>
      </w:r>
      <w:r>
        <w:rPr>
          <w:rFonts w:hint="eastAsia" w:ascii="仿宋_GB2312" w:hAnsi="宋体" w:eastAsia="仿宋_GB2312"/>
          <w:color w:val="auto"/>
          <w:sz w:val="32"/>
          <w:szCs w:val="32"/>
          <w:lang w:val="en-US" w:eastAsia="zh-CN"/>
        </w:rPr>
        <w:t>17.5</w:t>
      </w:r>
      <w:r>
        <w:rPr>
          <w:rFonts w:hint="eastAsia" w:ascii="仿宋_GB2312" w:hAnsi="宋体" w:eastAsia="仿宋_GB2312"/>
          <w:color w:val="auto"/>
          <w:sz w:val="32"/>
          <w:szCs w:val="32"/>
        </w:rPr>
        <w:t>万元，主要用于</w:t>
      </w:r>
      <w:r>
        <w:rPr>
          <w:rFonts w:hint="eastAsia" w:ascii="仿宋_GB2312" w:hAnsi="宋体" w:eastAsia="仿宋_GB2312"/>
          <w:color w:val="auto"/>
          <w:sz w:val="32"/>
          <w:szCs w:val="32"/>
          <w:lang w:eastAsia="zh-CN"/>
        </w:rPr>
        <w:t>委托业务费</w:t>
      </w:r>
      <w:r>
        <w:rPr>
          <w:rFonts w:hint="eastAsia" w:ascii="仿宋_GB2312" w:hAnsi="宋体" w:eastAsia="仿宋_GB2312"/>
          <w:color w:val="auto"/>
          <w:sz w:val="32"/>
          <w:szCs w:val="32"/>
        </w:rPr>
        <w:t>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1937110D">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（4）一般公共服务支出（类）财政事务（款）预算改革业务</w:t>
      </w:r>
      <w:r>
        <w:rPr>
          <w:rFonts w:hint="eastAsia" w:ascii="仿宋_GB2312" w:hAnsi="宋体" w:eastAsia="仿宋_GB2312"/>
          <w:color w:val="auto"/>
          <w:sz w:val="32"/>
          <w:szCs w:val="32"/>
          <w:lang w:eastAsia="zh-CN"/>
        </w:rPr>
        <w:t>（项）支出</w:t>
      </w:r>
      <w:r>
        <w:rPr>
          <w:rFonts w:hint="eastAsia" w:ascii="仿宋_GB2312" w:hAnsi="宋体" w:eastAsia="仿宋_GB2312"/>
          <w:color w:val="auto"/>
          <w:sz w:val="32"/>
          <w:szCs w:val="32"/>
          <w:lang w:val="en-US" w:eastAsia="zh-CN"/>
        </w:rPr>
        <w:t>45.8</w:t>
      </w:r>
      <w:r>
        <w:rPr>
          <w:rFonts w:hint="eastAsia" w:ascii="仿宋_GB2312" w:hAnsi="宋体" w:eastAsia="仿宋_GB2312"/>
          <w:color w:val="auto"/>
          <w:sz w:val="32"/>
          <w:szCs w:val="32"/>
        </w:rPr>
        <w:t>万元，主要用于</w:t>
      </w:r>
      <w:r>
        <w:rPr>
          <w:rFonts w:hint="eastAsia" w:ascii="仿宋_GB2312" w:hAnsi="宋体" w:eastAsia="仿宋_GB2312"/>
          <w:color w:val="auto"/>
          <w:sz w:val="32"/>
          <w:szCs w:val="32"/>
          <w:lang w:eastAsia="zh-CN"/>
        </w:rPr>
        <w:t>一体化</w:t>
      </w:r>
      <w:r>
        <w:rPr>
          <w:rFonts w:hint="eastAsia" w:ascii="仿宋_GB2312" w:hAnsi="宋体" w:eastAsia="仿宋_GB2312"/>
          <w:color w:val="auto"/>
          <w:sz w:val="32"/>
          <w:szCs w:val="32"/>
        </w:rPr>
        <w:t>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6AC350D4">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2.社会保障和就业支出</w:t>
      </w:r>
      <w:r>
        <w:rPr>
          <w:rFonts w:hint="eastAsia" w:ascii="仿宋_GB2312" w:hAnsi="宋体" w:eastAsia="仿宋_GB2312"/>
          <w:color w:val="auto"/>
          <w:sz w:val="32"/>
          <w:szCs w:val="32"/>
          <w:lang w:val="en-US" w:eastAsia="zh-CN"/>
        </w:rPr>
        <w:t>62.62</w:t>
      </w:r>
      <w:r>
        <w:rPr>
          <w:rFonts w:hint="eastAsia" w:ascii="仿宋_GB2312" w:hAnsi="宋体" w:eastAsia="仿宋_GB2312"/>
          <w:color w:val="auto"/>
          <w:sz w:val="32"/>
          <w:szCs w:val="32"/>
        </w:rPr>
        <w:t>万元，具体包括：</w:t>
      </w:r>
    </w:p>
    <w:p w14:paraId="1698EDDC">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（1）社会保障和就业支出（类）行政事业单位养老支出（款）行政单位离退休（项）</w:t>
      </w:r>
      <w:r>
        <w:rPr>
          <w:rFonts w:hint="eastAsia" w:ascii="仿宋_GB2312" w:hAnsi="宋体" w:eastAsia="仿宋_GB2312"/>
          <w:color w:val="auto"/>
          <w:sz w:val="32"/>
          <w:szCs w:val="32"/>
          <w:lang w:val="en-US" w:eastAsia="zh-CN"/>
        </w:rPr>
        <w:t>9.91</w:t>
      </w:r>
      <w:r>
        <w:rPr>
          <w:rFonts w:hint="eastAsia" w:ascii="仿宋_GB2312" w:hAnsi="宋体" w:eastAsia="仿宋_GB2312"/>
          <w:color w:val="auto"/>
          <w:sz w:val="32"/>
          <w:szCs w:val="32"/>
        </w:rPr>
        <w:t>万元，主要用于退休人员取暖费支出，完成预算100%，因各项支出均按预算执行，因此100%完成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3A914BDC">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（2）社会保障和就业支出（类）行政事业单位养老支出（款）机关事业单位基本养老保险缴费支出（项）</w:t>
      </w:r>
      <w:r>
        <w:rPr>
          <w:rFonts w:hint="eastAsia" w:ascii="仿宋_GB2312" w:hAnsi="宋体" w:eastAsia="仿宋_GB2312"/>
          <w:color w:val="auto"/>
          <w:sz w:val="32"/>
          <w:szCs w:val="32"/>
          <w:lang w:val="en-US" w:eastAsia="zh-CN"/>
        </w:rPr>
        <w:t>42.71</w:t>
      </w:r>
      <w:r>
        <w:rPr>
          <w:rFonts w:hint="eastAsia" w:ascii="仿宋_GB2312" w:hAnsi="宋体" w:eastAsia="仿宋_GB2312"/>
          <w:color w:val="auto"/>
          <w:sz w:val="32"/>
          <w:szCs w:val="32"/>
        </w:rPr>
        <w:t>万元，主要用于养老保险支出，完成预算100%，因各项支出均按预算执行，因此100%完成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28E68D21">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（3）社会保障和就业支出（类）抚恤（款）伤残抚恤（项）</w:t>
      </w:r>
      <w:r>
        <w:rPr>
          <w:rFonts w:hint="eastAsia" w:ascii="仿宋_GB2312" w:hAnsi="宋体" w:eastAsia="仿宋_GB2312"/>
          <w:color w:val="auto"/>
          <w:sz w:val="32"/>
          <w:szCs w:val="32"/>
          <w:lang w:val="en-US" w:eastAsia="zh-CN"/>
        </w:rPr>
        <w:t>1.92</w:t>
      </w:r>
      <w:r>
        <w:rPr>
          <w:rFonts w:hint="eastAsia" w:ascii="仿宋_GB2312" w:hAnsi="宋体" w:eastAsia="仿宋_GB2312"/>
          <w:color w:val="auto"/>
          <w:sz w:val="32"/>
          <w:szCs w:val="32"/>
        </w:rPr>
        <w:t>万元，用于伤残抚恤金支出，完成预算100%，因各项支出均按预算执行，因此100%完成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7ACE5E7C">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3.卫生健康支出</w:t>
      </w:r>
      <w:r>
        <w:rPr>
          <w:rFonts w:hint="eastAsia" w:ascii="仿宋_GB2312" w:hAnsi="宋体" w:eastAsia="仿宋_GB2312"/>
          <w:color w:val="auto"/>
          <w:sz w:val="32"/>
          <w:szCs w:val="32"/>
          <w:lang w:val="en-US" w:eastAsia="zh-CN"/>
        </w:rPr>
        <w:t>17.36</w:t>
      </w:r>
      <w:r>
        <w:rPr>
          <w:rFonts w:hint="eastAsia" w:ascii="仿宋_GB2312" w:hAnsi="宋体" w:eastAsia="仿宋_GB2312"/>
          <w:color w:val="auto"/>
          <w:sz w:val="32"/>
          <w:szCs w:val="32"/>
        </w:rPr>
        <w:t>万元，具体包括：</w:t>
      </w:r>
    </w:p>
    <w:p w14:paraId="2C76DCFE">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（1）卫生健康支出（类）行政事业单位医疗（款）行政单位医疗（项）</w:t>
      </w:r>
      <w:r>
        <w:rPr>
          <w:rFonts w:hint="eastAsia" w:ascii="仿宋_GB2312" w:hAnsi="宋体" w:eastAsia="仿宋_GB2312"/>
          <w:color w:val="auto"/>
          <w:sz w:val="32"/>
          <w:szCs w:val="32"/>
          <w:lang w:val="en-US" w:eastAsia="zh-CN"/>
        </w:rPr>
        <w:t>15.83</w:t>
      </w:r>
      <w:r>
        <w:rPr>
          <w:rFonts w:hint="eastAsia" w:ascii="仿宋_GB2312" w:hAnsi="宋体" w:eastAsia="仿宋_GB2312"/>
          <w:color w:val="auto"/>
          <w:sz w:val="32"/>
          <w:szCs w:val="32"/>
        </w:rPr>
        <w:t>万元，主要用于医疗保险支出，完成预算100%，因各项支出均按预算执行，因此100%完成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755B5CDE">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（2）卫生健康支出（类）行政事业单位医疗（款）公务员医疗补助（项）</w:t>
      </w:r>
      <w:r>
        <w:rPr>
          <w:rFonts w:hint="eastAsia" w:ascii="仿宋_GB2312" w:hAnsi="宋体" w:eastAsia="仿宋_GB2312"/>
          <w:color w:val="auto"/>
          <w:sz w:val="32"/>
          <w:szCs w:val="32"/>
          <w:lang w:val="en-US" w:eastAsia="zh-CN"/>
        </w:rPr>
        <w:t>1.53</w:t>
      </w:r>
      <w:r>
        <w:rPr>
          <w:rFonts w:hint="eastAsia" w:ascii="仿宋_GB2312" w:hAnsi="宋体" w:eastAsia="仿宋_GB2312"/>
          <w:color w:val="auto"/>
          <w:sz w:val="32"/>
          <w:szCs w:val="32"/>
        </w:rPr>
        <w:t>万元，主要用于医疗补助支出，完成预算100%，因各项支出均按预算执行，因此100%完成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1FC7EC17">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4.住房保障支出</w:t>
      </w:r>
      <w:r>
        <w:rPr>
          <w:rFonts w:hint="eastAsia" w:ascii="仿宋_GB2312" w:hAnsi="宋体" w:eastAsia="仿宋_GB2312"/>
          <w:color w:val="auto"/>
          <w:sz w:val="32"/>
          <w:szCs w:val="32"/>
          <w:lang w:val="en-US" w:eastAsia="zh-CN"/>
        </w:rPr>
        <w:t>60.04</w:t>
      </w:r>
      <w:r>
        <w:rPr>
          <w:rFonts w:hint="eastAsia" w:ascii="仿宋_GB2312" w:hAnsi="宋体" w:eastAsia="仿宋_GB2312"/>
          <w:color w:val="auto"/>
          <w:sz w:val="32"/>
          <w:szCs w:val="32"/>
        </w:rPr>
        <w:t>万元，具体包括：</w:t>
      </w:r>
    </w:p>
    <w:p w14:paraId="442E36E9">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住房保障支出（类）住房改革支出（款）住房公积金（项）</w:t>
      </w:r>
      <w:r>
        <w:rPr>
          <w:rFonts w:hint="eastAsia" w:ascii="仿宋_GB2312" w:hAnsi="宋体" w:eastAsia="仿宋_GB2312"/>
          <w:color w:val="auto"/>
          <w:sz w:val="32"/>
          <w:szCs w:val="32"/>
          <w:lang w:val="en-US" w:eastAsia="zh-CN"/>
        </w:rPr>
        <w:t>60.04</w:t>
      </w:r>
      <w:r>
        <w:rPr>
          <w:rFonts w:hint="eastAsia" w:ascii="仿宋_GB2312" w:hAnsi="宋体" w:eastAsia="仿宋_GB2312"/>
          <w:color w:val="auto"/>
          <w:sz w:val="32"/>
          <w:szCs w:val="32"/>
        </w:rPr>
        <w:t>万元，主要用于单位职工缴纳住房公积金支出，完成预算100%，因各项支出均按预算执行，因此100%完成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75F1E8B7">
      <w:pPr>
        <w:numPr>
          <w:ilvl w:val="0"/>
          <w:numId w:val="0"/>
        </w:numPr>
        <w:spacing w:line="560" w:lineRule="exact"/>
        <w:ind w:firstLine="660" w:firstLineChars="0"/>
        <w:rPr>
          <w:rFonts w:ascii="楷体_GB2312" w:hAnsi="宋体" w:eastAsia="楷体_GB2312"/>
          <w:b/>
          <w:sz w:val="32"/>
          <w:szCs w:val="32"/>
        </w:rPr>
      </w:pPr>
      <w:r>
        <w:rPr>
          <w:rFonts w:hint="eastAsia" w:ascii="楷体_GB2312" w:hAnsi="宋体" w:eastAsia="楷体_GB2312" w:cstheme="minorBidi"/>
          <w:b/>
          <w:kern w:val="2"/>
          <w:sz w:val="32"/>
          <w:szCs w:val="32"/>
          <w:lang w:val="en-US" w:eastAsia="zh-CN" w:bidi="ar-SA"/>
        </w:rPr>
        <w:t>（三）</w:t>
      </w:r>
      <w:r>
        <w:rPr>
          <w:rFonts w:ascii="楷体_GB2312" w:hAnsi="宋体" w:eastAsia="楷体_GB2312"/>
          <w:b/>
          <w:sz w:val="32"/>
          <w:szCs w:val="32"/>
        </w:rPr>
        <w:t>政府性基金预算财政拨款支出情况。</w:t>
      </w:r>
    </w:p>
    <w:p w14:paraId="360BA528">
      <w:pPr>
        <w:numPr>
          <w:ilvl w:val="0"/>
          <w:numId w:val="0"/>
        </w:numPr>
        <w:spacing w:line="560" w:lineRule="exact"/>
        <w:ind w:firstLine="640" w:firstLineChars="200"/>
        <w:rPr>
          <w:rFonts w:hint="default" w:ascii="仿宋_GB2312" w:hAnsi="宋体" w:eastAsia="仿宋_GB2312"/>
          <w:sz w:val="32"/>
          <w:szCs w:val="32"/>
        </w:rPr>
      </w:pPr>
      <w:r>
        <w:rPr>
          <w:rFonts w:hint="eastAsia" w:ascii="仿宋_GB2312" w:hAnsi="宋体" w:eastAsia="仿宋_GB2312"/>
          <w:color w:val="auto"/>
          <w:sz w:val="32"/>
          <w:szCs w:val="32"/>
          <w:highlight w:val="none"/>
          <w:lang w:eastAsia="zh-CN"/>
        </w:rPr>
        <w:t>202</w:t>
      </w:r>
      <w:r>
        <w:rPr>
          <w:rFonts w:hint="eastAsia" w:ascii="仿宋_GB2312" w:hAnsi="宋体" w:eastAsia="仿宋_GB2312"/>
          <w:color w:val="auto"/>
          <w:sz w:val="32"/>
          <w:szCs w:val="32"/>
          <w:highlight w:val="none"/>
          <w:lang w:val="en-US" w:eastAsia="zh-CN"/>
        </w:rPr>
        <w:t>2</w:t>
      </w:r>
      <w:r>
        <w:rPr>
          <w:rFonts w:hint="eastAsia" w:ascii="仿宋_GB2312" w:hAnsi="宋体" w:eastAsia="仿宋_GB2312"/>
          <w:color w:val="auto"/>
          <w:sz w:val="32"/>
          <w:szCs w:val="32"/>
          <w:highlight w:val="none"/>
        </w:rPr>
        <w:t>年度政府性基金预算财政拨款支出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14:paraId="2B2B764E">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553F4CC9">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40" w:firstLineChars="200"/>
        <w:textAlignment w:val="auto"/>
        <w:outlineLvl w:val="9"/>
        <w:rPr>
          <w:rFonts w:hint="eastAsia" w:ascii="仿宋_GB2312" w:hAnsi="宋体" w:eastAsia="仿宋_GB2312"/>
          <w:color w:val="auto"/>
          <w:sz w:val="32"/>
          <w:szCs w:val="32"/>
          <w:highlight w:val="none"/>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color w:val="auto"/>
          <w:sz w:val="32"/>
          <w:szCs w:val="32"/>
          <w:highlight w:val="none"/>
        </w:rPr>
        <w:t>年度国有资本经营预算财政拨款支出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14:paraId="700A0EE9">
      <w:pPr>
        <w:pStyle w:val="6"/>
        <w:numPr>
          <w:ilvl w:val="0"/>
          <w:numId w:val="3"/>
        </w:numPr>
        <w:autoSpaceDN w:val="0"/>
        <w:spacing w:line="560" w:lineRule="exact"/>
        <w:ind w:left="0" w:leftChars="0" w:firstLine="660" w:firstLineChars="0"/>
        <w:rPr>
          <w:rFonts w:ascii="黑体" w:eastAsia="黑体"/>
          <w:sz w:val="32"/>
        </w:rPr>
      </w:pPr>
      <w:r>
        <w:rPr>
          <w:rFonts w:ascii="黑体" w:eastAsia="黑体"/>
          <w:sz w:val="32"/>
        </w:rPr>
        <w:t>一般公共预算财政拨款“三公”经费支出决算情况说明</w:t>
      </w:r>
    </w:p>
    <w:p w14:paraId="6A5983B7">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8771C58">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14:paraId="6BC5349E">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14:paraId="1888519B">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14:paraId="4BD1EC16">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0C936499">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color w:val="auto"/>
          <w:sz w:val="32"/>
          <w:szCs w:val="32"/>
        </w:rPr>
        <w:t>。</w:t>
      </w:r>
    </w:p>
    <w:p w14:paraId="17CFC984">
      <w:pPr>
        <w:pStyle w:val="6"/>
        <w:numPr>
          <w:ilvl w:val="0"/>
          <w:numId w:val="0"/>
        </w:numPr>
        <w:autoSpaceDN w:val="0"/>
        <w:spacing w:line="560" w:lineRule="exact"/>
        <w:ind w:left="660" w:leftChars="0"/>
        <w:rPr>
          <w:rFonts w:hint="default" w:ascii="黑体" w:eastAsia="黑体"/>
          <w:sz w:val="32"/>
        </w:rPr>
      </w:pPr>
    </w:p>
    <w:p w14:paraId="182D9EE1">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3A3FB195">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560.55</w:t>
      </w:r>
      <w:r>
        <w:rPr>
          <w:rFonts w:ascii="仿宋_GB2312" w:eastAsia="仿宋_GB2312"/>
          <w:sz w:val="32"/>
        </w:rPr>
        <w:t>万元，其中：人员经费</w:t>
      </w:r>
      <w:r>
        <w:rPr>
          <w:rFonts w:hint="eastAsia" w:ascii="仿宋_GB2312" w:eastAsia="仿宋_GB2312"/>
          <w:sz w:val="32"/>
        </w:rPr>
        <w:t>514.61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45.94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873E13C">
      <w:pPr>
        <w:pStyle w:val="6"/>
        <w:spacing w:line="560" w:lineRule="exact"/>
        <w:ind w:firstLine="640"/>
        <w:rPr>
          <w:rFonts w:hint="default" w:ascii="黑体" w:eastAsia="黑体"/>
          <w:sz w:val="32"/>
        </w:rPr>
      </w:pPr>
      <w:r>
        <w:rPr>
          <w:rFonts w:ascii="黑体" w:eastAsia="黑体"/>
          <w:sz w:val="32"/>
        </w:rPr>
        <w:t>五、其他重要事项的情况说明</w:t>
      </w:r>
    </w:p>
    <w:p w14:paraId="064F800F">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62285C4C">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45.94</w:t>
      </w:r>
      <w:r>
        <w:rPr>
          <w:rFonts w:ascii="仿宋_GB2312" w:eastAsia="仿宋_GB2312"/>
          <w:sz w:val="32"/>
        </w:rPr>
        <w:t>万元，比上年决算数减少</w:t>
      </w:r>
      <w:r>
        <w:rPr>
          <w:rFonts w:hint="eastAsia" w:ascii="仿宋_GB2312" w:eastAsia="仿宋_GB2312"/>
          <w:sz w:val="32"/>
          <w:lang w:val="en-US" w:eastAsia="zh-CN"/>
        </w:rPr>
        <w:t>6.84</w:t>
      </w:r>
      <w:r>
        <w:rPr>
          <w:rFonts w:ascii="仿宋_GB2312" w:eastAsia="仿宋_GB2312"/>
          <w:sz w:val="32"/>
        </w:rPr>
        <w:t>万元，降低</w:t>
      </w:r>
      <w:r>
        <w:rPr>
          <w:rFonts w:hint="eastAsia" w:ascii="仿宋_GB2312" w:eastAsia="仿宋_GB2312"/>
          <w:sz w:val="32"/>
          <w:lang w:val="en-US" w:eastAsia="zh-CN"/>
        </w:rPr>
        <w:t>13</w:t>
      </w:r>
      <w:r>
        <w:rPr>
          <w:rFonts w:ascii="仿宋_GB2312" w:eastAsia="仿宋_GB2312"/>
          <w:sz w:val="32"/>
        </w:rPr>
        <w:t>%，主要原因是</w:t>
      </w:r>
      <w:r>
        <w:rPr>
          <w:rFonts w:hint="eastAsia" w:ascii="仿宋_GB2312" w:eastAsia="仿宋_GB2312"/>
          <w:sz w:val="32"/>
          <w:lang w:eastAsia="zh-CN"/>
        </w:rPr>
        <w:t>减少办公支出</w:t>
      </w:r>
      <w:r>
        <w:rPr>
          <w:rFonts w:ascii="仿宋_GB2312" w:eastAsia="仿宋_GB2312"/>
          <w:sz w:val="32"/>
        </w:rPr>
        <w:t>。</w:t>
      </w:r>
    </w:p>
    <w:p w14:paraId="0CD1495B">
      <w:pPr>
        <w:pStyle w:val="6"/>
        <w:keepNext w:val="0"/>
        <w:keepLines w:val="0"/>
        <w:pageBreakBefore w:val="0"/>
        <w:numPr>
          <w:ilvl w:val="0"/>
          <w:numId w:val="4"/>
        </w:numPr>
        <w:kinsoku/>
        <w:wordWrap/>
        <w:overflowPunct/>
        <w:topLinePunct w:val="0"/>
        <w:autoSpaceDE/>
        <w:bidi w:val="0"/>
        <w:adjustRightInd/>
        <w:snapToGrid/>
        <w:spacing w:line="560" w:lineRule="exact"/>
        <w:ind w:firstLine="643" w:firstLineChars="200"/>
        <w:textAlignment w:val="auto"/>
        <w:rPr>
          <w:rFonts w:ascii="楷体_GB2312" w:eastAsia="楷体_GB2312"/>
          <w:b/>
          <w:sz w:val="32"/>
        </w:rPr>
      </w:pPr>
      <w:r>
        <w:rPr>
          <w:rFonts w:ascii="楷体_GB2312" w:eastAsia="楷体_GB2312"/>
          <w:b/>
          <w:sz w:val="32"/>
        </w:rPr>
        <w:t>政府采购支出情况。</w:t>
      </w:r>
    </w:p>
    <w:p w14:paraId="034CCB69">
      <w:pPr>
        <w:pStyle w:val="6"/>
        <w:keepNext w:val="0"/>
        <w:keepLines w:val="0"/>
        <w:pageBreakBefore w:val="0"/>
        <w:numPr>
          <w:ilvl w:val="0"/>
          <w:numId w:val="0"/>
        </w:numPr>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202</w:t>
      </w:r>
      <w:r>
        <w:rPr>
          <w:rFonts w:hint="eastAsia" w:ascii="仿宋_GB2312" w:eastAsia="仿宋_GB2312"/>
          <w:color w:val="auto"/>
          <w:sz w:val="32"/>
          <w:lang w:val="en-US" w:eastAsia="zh-CN"/>
        </w:rPr>
        <w:t>2</w:t>
      </w:r>
      <w:r>
        <w:rPr>
          <w:rFonts w:ascii="仿宋_GB2312" w:eastAsia="仿宋_GB2312"/>
          <w:color w:val="auto"/>
          <w:sz w:val="32"/>
        </w:rPr>
        <w:t>年政府采购支出总额</w:t>
      </w:r>
      <w:r>
        <w:rPr>
          <w:rFonts w:hint="eastAsia" w:ascii="仿宋_GB2312" w:eastAsia="仿宋_GB2312"/>
          <w:color w:val="auto"/>
          <w:sz w:val="32"/>
          <w:lang w:val="en-US" w:eastAsia="zh-CN"/>
        </w:rPr>
        <w:t>0</w:t>
      </w:r>
      <w:r>
        <w:rPr>
          <w:rFonts w:ascii="仿宋_GB2312" w:eastAsia="仿宋_GB2312"/>
          <w:color w:val="auto"/>
          <w:sz w:val="32"/>
        </w:rPr>
        <w:t>万元，其中：政府采购货物支出</w:t>
      </w:r>
      <w:r>
        <w:rPr>
          <w:rFonts w:hint="eastAsia" w:ascii="仿宋_GB2312" w:eastAsia="仿宋_GB2312"/>
          <w:color w:val="auto"/>
          <w:sz w:val="32"/>
          <w:lang w:val="en-US" w:eastAsia="zh-CN"/>
        </w:rPr>
        <w:t>0</w:t>
      </w:r>
      <w:r>
        <w:rPr>
          <w:rFonts w:ascii="仿宋_GB2312" w:eastAsia="仿宋_GB2312"/>
          <w:color w:val="auto"/>
          <w:sz w:val="32"/>
        </w:rPr>
        <w:t>万元，政府采购工程支出</w:t>
      </w:r>
      <w:r>
        <w:rPr>
          <w:rFonts w:hint="eastAsia" w:ascii="仿宋_GB2312" w:eastAsia="仿宋_GB2312"/>
          <w:color w:val="auto"/>
          <w:sz w:val="32"/>
          <w:lang w:val="en-US" w:eastAsia="zh-CN"/>
        </w:rPr>
        <w:t>0</w:t>
      </w:r>
      <w:r>
        <w:rPr>
          <w:rFonts w:ascii="仿宋_GB2312" w:eastAsia="仿宋_GB2312"/>
          <w:color w:val="auto"/>
          <w:sz w:val="32"/>
        </w:rPr>
        <w:t>万元，政府采购服务支出</w:t>
      </w:r>
      <w:r>
        <w:rPr>
          <w:rFonts w:hint="eastAsia" w:ascii="仿宋_GB2312" w:eastAsia="仿宋_GB2312"/>
          <w:color w:val="auto"/>
          <w:sz w:val="32"/>
          <w:lang w:val="en-US" w:eastAsia="zh-CN"/>
        </w:rPr>
        <w:t>0</w:t>
      </w:r>
      <w:r>
        <w:rPr>
          <w:rFonts w:ascii="仿宋_GB2312" w:eastAsia="仿宋_GB2312"/>
          <w:color w:val="auto"/>
          <w:sz w:val="32"/>
        </w:rPr>
        <w:t>万元。授予中小企业合同金额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%，其中：授予小微企业合同金额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%；货物采购授予中小企业合同金额占货物支出金额的</w:t>
      </w:r>
      <w:r>
        <w:rPr>
          <w:rFonts w:hint="eastAsia" w:ascii="仿宋_GB2312" w:eastAsia="仿宋_GB2312"/>
          <w:color w:val="auto"/>
          <w:sz w:val="32"/>
          <w:lang w:val="en-US" w:eastAsia="zh-CN"/>
        </w:rPr>
        <w:t>0</w:t>
      </w:r>
      <w:r>
        <w:rPr>
          <w:rFonts w:ascii="仿宋_GB2312" w:eastAsia="仿宋_GB2312"/>
          <w:color w:val="auto"/>
          <w:sz w:val="32"/>
        </w:rPr>
        <w:t>%；工程采购授予中小企业合同金额占工程支出金额的</w:t>
      </w:r>
      <w:r>
        <w:rPr>
          <w:rFonts w:hint="eastAsia" w:ascii="仿宋_GB2312" w:eastAsia="仿宋_GB2312"/>
          <w:color w:val="auto"/>
          <w:sz w:val="32"/>
          <w:lang w:val="en-US" w:eastAsia="zh-CN"/>
        </w:rPr>
        <w:t>0</w:t>
      </w:r>
      <w:r>
        <w:rPr>
          <w:rFonts w:ascii="仿宋_GB2312" w:eastAsia="仿宋_GB2312"/>
          <w:color w:val="auto"/>
          <w:sz w:val="32"/>
        </w:rPr>
        <w:t>%；服务采购授予中小企业合同金额占服务支出金额的</w:t>
      </w:r>
      <w:r>
        <w:rPr>
          <w:rFonts w:hint="eastAsia" w:ascii="仿宋_GB2312" w:eastAsia="仿宋_GB2312"/>
          <w:color w:val="auto"/>
          <w:sz w:val="32"/>
          <w:lang w:val="en-US" w:eastAsia="zh-CN"/>
        </w:rPr>
        <w:t>0</w:t>
      </w:r>
      <w:r>
        <w:rPr>
          <w:rFonts w:ascii="仿宋_GB2312" w:eastAsia="仿宋_GB2312"/>
          <w:color w:val="auto"/>
          <w:sz w:val="32"/>
        </w:rPr>
        <w:t>%。</w:t>
      </w:r>
    </w:p>
    <w:p w14:paraId="035176EF">
      <w:pPr>
        <w:pStyle w:val="6"/>
        <w:spacing w:line="560" w:lineRule="exact"/>
        <w:ind w:firstLine="640"/>
        <w:rPr>
          <w:rFonts w:hint="default" w:ascii="仿宋_GB2312" w:eastAsia="仿宋_GB2312"/>
          <w:sz w:val="32"/>
        </w:rPr>
      </w:pPr>
    </w:p>
    <w:p w14:paraId="6D238129">
      <w:pPr>
        <w:keepNext w:val="0"/>
        <w:keepLines w:val="0"/>
        <w:pageBreakBefore w:val="0"/>
        <w:numPr>
          <w:ilvl w:val="0"/>
          <w:numId w:val="4"/>
        </w:numPr>
        <w:kinsoku/>
        <w:wordWrap/>
        <w:overflowPunct/>
        <w:topLinePunct w:val="0"/>
        <w:autoSpaceDE/>
        <w:bidi w:val="0"/>
        <w:adjustRightInd/>
        <w:snapToGrid/>
        <w:spacing w:line="540" w:lineRule="exact"/>
        <w:ind w:left="0" w:leftChars="0" w:firstLine="643" w:firstLineChars="200"/>
        <w:textAlignment w:val="auto"/>
        <w:rPr>
          <w:rFonts w:ascii="楷体_GB2312" w:eastAsia="楷体_GB2312"/>
          <w:b/>
          <w:sz w:val="32"/>
        </w:rPr>
      </w:pPr>
      <w:r>
        <w:rPr>
          <w:rFonts w:ascii="楷体_GB2312" w:eastAsia="楷体_GB2312"/>
          <w:b/>
          <w:sz w:val="32"/>
        </w:rPr>
        <w:t>国有资产占用情况。</w:t>
      </w:r>
    </w:p>
    <w:p w14:paraId="63CC762D">
      <w:pPr>
        <w:keepNext w:val="0"/>
        <w:keepLines w:val="0"/>
        <w:pageBreakBefore w:val="0"/>
        <w:numPr>
          <w:ilvl w:val="0"/>
          <w:numId w:val="0"/>
        </w:numPr>
        <w:kinsoku/>
        <w:wordWrap/>
        <w:overflowPunct/>
        <w:topLinePunct w:val="0"/>
        <w:autoSpaceDE/>
        <w:bidi w:val="0"/>
        <w:adjustRightInd/>
        <w:snapToGrid/>
        <w:spacing w:line="540" w:lineRule="exact"/>
        <w:ind w:leftChars="200" w:firstLine="640" w:firstLineChars="200"/>
        <w:textAlignment w:val="auto"/>
        <w:rPr>
          <w:rFonts w:hint="eastAsia" w:ascii="仿宋_GB2312" w:hAnsi="黑体" w:eastAsia="仿宋_GB2312"/>
          <w:color w:val="auto"/>
          <w:sz w:val="32"/>
          <w:szCs w:val="32"/>
        </w:rPr>
      </w:pPr>
      <w:r>
        <w:rPr>
          <w:rFonts w:hint="eastAsia" w:ascii="仿宋_GB2312" w:hAnsi="黑体" w:eastAsia="仿宋_GB2312"/>
          <w:color w:val="auto"/>
          <w:sz w:val="32"/>
          <w:szCs w:val="32"/>
        </w:rPr>
        <w:t>截至202</w:t>
      </w:r>
      <w:r>
        <w:rPr>
          <w:rFonts w:hint="eastAsia" w:ascii="仿宋_GB2312" w:hAnsi="黑体" w:eastAsia="仿宋_GB2312"/>
          <w:color w:val="auto"/>
          <w:sz w:val="32"/>
          <w:szCs w:val="32"/>
          <w:lang w:val="en-US" w:eastAsia="zh-CN"/>
        </w:rPr>
        <w:t>2</w:t>
      </w:r>
      <w:r>
        <w:rPr>
          <w:rFonts w:hint="eastAsia" w:ascii="仿宋_GB2312" w:hAnsi="黑体" w:eastAsia="仿宋_GB2312"/>
          <w:color w:val="auto"/>
          <w:sz w:val="32"/>
          <w:szCs w:val="32"/>
        </w:rPr>
        <w:t>年12月31日，共有车辆0辆，其中：副省级以上领导干部用车0辆，主要</w:t>
      </w:r>
      <w:r>
        <w:rPr>
          <w:rFonts w:ascii="仿宋_GB2312" w:hAnsi="黑体" w:eastAsia="仿宋_GB2312"/>
          <w:color w:val="auto"/>
          <w:sz w:val="32"/>
          <w:szCs w:val="32"/>
        </w:rPr>
        <w:t>领导干部</w:t>
      </w:r>
      <w:r>
        <w:rPr>
          <w:rFonts w:hint="eastAsia" w:ascii="仿宋_GB2312" w:hAnsi="黑体" w:eastAsia="仿宋_GB2312"/>
          <w:color w:val="auto"/>
          <w:sz w:val="32"/>
          <w:szCs w:val="32"/>
        </w:rPr>
        <w:t>用车0辆，机要通讯用车0辆，应急</w:t>
      </w:r>
      <w:r>
        <w:rPr>
          <w:rFonts w:ascii="仿宋_GB2312" w:hAnsi="黑体" w:eastAsia="仿宋_GB2312"/>
          <w:color w:val="auto"/>
          <w:sz w:val="32"/>
          <w:szCs w:val="32"/>
        </w:rPr>
        <w:t>保障用车</w:t>
      </w:r>
      <w:r>
        <w:rPr>
          <w:rFonts w:hint="eastAsia" w:ascii="仿宋_GB2312" w:hAnsi="黑体" w:eastAsia="仿宋_GB2312"/>
          <w:color w:val="auto"/>
          <w:sz w:val="32"/>
          <w:szCs w:val="32"/>
        </w:rPr>
        <w:t>0</w:t>
      </w:r>
      <w:r>
        <w:rPr>
          <w:rFonts w:ascii="仿宋_GB2312" w:hAnsi="黑体" w:eastAsia="仿宋_GB2312"/>
          <w:color w:val="auto"/>
          <w:sz w:val="32"/>
          <w:szCs w:val="32"/>
        </w:rPr>
        <w:t>辆，</w:t>
      </w:r>
      <w:r>
        <w:rPr>
          <w:rFonts w:hint="eastAsia" w:ascii="仿宋_GB2312" w:hAnsi="黑体" w:eastAsia="仿宋_GB2312"/>
          <w:color w:val="auto"/>
          <w:sz w:val="32"/>
          <w:szCs w:val="32"/>
        </w:rPr>
        <w:t>执法执勤</w:t>
      </w:r>
      <w:r>
        <w:rPr>
          <w:rFonts w:ascii="仿宋_GB2312" w:hAnsi="黑体" w:eastAsia="仿宋_GB2312"/>
          <w:color w:val="auto"/>
          <w:sz w:val="32"/>
          <w:szCs w:val="32"/>
        </w:rPr>
        <w:t>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特种专业技术用车0辆，离退休</w:t>
      </w:r>
      <w:r>
        <w:rPr>
          <w:rFonts w:ascii="仿宋_GB2312" w:hAnsi="黑体" w:eastAsia="仿宋_GB2312"/>
          <w:color w:val="auto"/>
          <w:sz w:val="32"/>
          <w:szCs w:val="32"/>
        </w:rPr>
        <w:t>干部用车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其他用车0辆。；单位价值50万元以上通用设备0台（套），单价100万元以上专用设备0台（套）。</w:t>
      </w:r>
    </w:p>
    <w:p w14:paraId="29A4C2A4">
      <w:pPr>
        <w:pStyle w:val="6"/>
        <w:spacing w:line="560" w:lineRule="exact"/>
        <w:ind w:firstLine="640"/>
        <w:rPr>
          <w:rFonts w:hint="default" w:ascii="仿宋_GB2312" w:eastAsia="仿宋_GB2312"/>
          <w:sz w:val="32"/>
        </w:rPr>
      </w:pPr>
    </w:p>
    <w:p w14:paraId="12C68D1B">
      <w:pPr>
        <w:keepNext w:val="0"/>
        <w:keepLines w:val="0"/>
        <w:widowControl/>
        <w:numPr>
          <w:ilvl w:val="0"/>
          <w:numId w:val="4"/>
        </w:numPr>
        <w:suppressLineNumbers w:val="0"/>
        <w:spacing w:before="0" w:beforeAutospacing="0" w:after="0" w:afterAutospacing="0" w:line="540" w:lineRule="exact"/>
        <w:ind w:left="0" w:leftChars="0" w:right="0" w:firstLine="643" w:firstLineChars="200"/>
        <w:jc w:val="left"/>
        <w:rPr>
          <w:rFonts w:ascii="楷体_GB2312" w:eastAsia="楷体_GB2312"/>
          <w:b/>
          <w:sz w:val="32"/>
        </w:rPr>
      </w:pPr>
      <w:r>
        <w:rPr>
          <w:rFonts w:ascii="楷体_GB2312" w:eastAsia="楷体_GB2312"/>
          <w:b/>
          <w:sz w:val="32"/>
        </w:rPr>
        <w:t>预算绩效管理工作开展情况。</w:t>
      </w:r>
    </w:p>
    <w:p w14:paraId="3C8F9F95">
      <w:pPr>
        <w:keepNext w:val="0"/>
        <w:keepLines w:val="0"/>
        <w:pageBreakBefore w:val="0"/>
        <w:widowControl/>
        <w:kinsoku/>
        <w:wordWrap/>
        <w:overflowPunct/>
        <w:topLinePunct w:val="0"/>
        <w:autoSpaceDE/>
        <w:bidi w:val="0"/>
        <w:adjustRightInd/>
        <w:snapToGrid/>
        <w:spacing w:line="540" w:lineRule="exact"/>
        <w:ind w:firstLine="960" w:firstLineChars="300"/>
        <w:jc w:val="left"/>
        <w:textAlignment w:val="auto"/>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202</w:t>
      </w:r>
      <w:r>
        <w:rPr>
          <w:rFonts w:hint="eastAsia" w:ascii="仿宋_GB2312" w:hAnsi="黑体" w:eastAsia="仿宋_GB2312"/>
          <w:color w:val="auto"/>
          <w:sz w:val="32"/>
          <w:szCs w:val="32"/>
          <w:lang w:val="en-US" w:eastAsia="zh-CN"/>
        </w:rPr>
        <w:t>2</w:t>
      </w:r>
      <w:r>
        <w:rPr>
          <w:rFonts w:hint="eastAsia" w:ascii="仿宋_GB2312" w:hAnsi="黑体" w:eastAsia="仿宋_GB2312"/>
          <w:color w:val="auto"/>
          <w:sz w:val="32"/>
          <w:szCs w:val="32"/>
        </w:rPr>
        <w:t>年沈阳市浑南区财政局</w:t>
      </w:r>
      <w:r>
        <w:rPr>
          <w:rFonts w:hint="eastAsia" w:ascii="仿宋_GB2312" w:hAnsi="宋体" w:eastAsia="仿宋_GB2312" w:cs="仿宋_GB2312"/>
          <w:color w:val="auto"/>
          <w:kern w:val="2"/>
          <w:sz w:val="32"/>
          <w:szCs w:val="32"/>
          <w:highlight w:val="none"/>
          <w:shd w:val="clear" w:color="auto" w:fill="auto"/>
          <w:lang w:val="en-US" w:eastAsia="zh-CN" w:bidi="ar"/>
        </w:rPr>
        <w:t>不涉及特定目标类绩效评价</w:t>
      </w:r>
      <w:r>
        <w:rPr>
          <w:rFonts w:hint="eastAsia" w:ascii="仿宋_GB2312" w:hAnsi="黑体" w:eastAsia="仿宋_GB2312"/>
          <w:color w:val="auto"/>
          <w:sz w:val="32"/>
          <w:szCs w:val="32"/>
          <w:lang w:eastAsia="zh-CN"/>
        </w:rPr>
        <w:t>。</w:t>
      </w:r>
    </w:p>
    <w:p w14:paraId="60E9B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34072C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13个（其中：一般公共预算项目13个，政府性基金预算项目0个，国有资本经营预算项目0个），涉及资金199.61万元（其中：一般公共预算资金199.61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hAnsi="宋体" w:eastAsia="仿宋_GB2312" w:cs="仿宋_GB2312"/>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发现的主要问题及下一步改进措施：针对预算执行率未达到年初预算指标，将进一步完善预算流程，尽可能确保编制预算覆盖各种可能发生的情况。</w:t>
      </w:r>
    </w:p>
    <w:p w14:paraId="1A22C3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14:paraId="1BB8E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352F45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2022年本单位不涉及特定目标类绩效评价。</w:t>
      </w:r>
    </w:p>
    <w:p w14:paraId="5CF09CA4">
      <w:pPr>
        <w:widowControl/>
        <w:numPr>
          <w:ilvl w:val="0"/>
          <w:numId w:val="0"/>
        </w:numPr>
        <w:spacing w:line="520" w:lineRule="exact"/>
        <w:ind w:left="660" w:leftChars="0"/>
        <w:jc w:val="left"/>
        <w:rPr>
          <w:rFonts w:ascii="仿宋_GB2312" w:hAnsi="宋体" w:eastAsia="仿宋_GB2312" w:cs="仿宋_GB2312"/>
          <w:b/>
          <w:bCs/>
          <w:sz w:val="32"/>
          <w:szCs w:val="32"/>
          <w:lang w:bidi="ar"/>
        </w:rPr>
      </w:pPr>
      <w:r>
        <w:rPr>
          <w:rFonts w:hint="eastAsia" w:ascii="仿宋_GB2312" w:hAnsi="宋体" w:eastAsia="仿宋_GB2312" w:cs="仿宋_GB2312"/>
          <w:b/>
          <w:bCs/>
          <w:sz w:val="32"/>
          <w:szCs w:val="32"/>
          <w:lang w:val="en-US" w:eastAsia="zh-CN" w:bidi="ar"/>
        </w:rPr>
        <w:t>3.</w:t>
      </w:r>
      <w:r>
        <w:rPr>
          <w:rFonts w:ascii="仿宋_GB2312" w:hAnsi="宋体" w:eastAsia="仿宋_GB2312" w:cs="仿宋_GB2312"/>
          <w:b/>
          <w:bCs/>
          <w:sz w:val="32"/>
          <w:szCs w:val="32"/>
          <w:lang w:bidi="ar"/>
        </w:rPr>
        <w:t>部门评价结果。</w:t>
      </w:r>
    </w:p>
    <w:p w14:paraId="7588C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 xml:space="preserve"> 2022年我单位积极开展各项工作，整体绩效和项目绩效评价效果较好，日后我单位继续加强资金管理，最大限度发挥资金使用效益。</w:t>
      </w:r>
    </w:p>
    <w:p w14:paraId="2E1698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p>
    <w:p w14:paraId="2D5EB9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p>
    <w:p w14:paraId="24B19F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4707E6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该部门整体绩效自评效果较好，望你单位继续加强资金管理，发挥资金效益。</w:t>
      </w:r>
    </w:p>
    <w:p w14:paraId="694F60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 w:hAnsi="仿宋" w:eastAsia="仿宋" w:cs="仿宋"/>
          <w:sz w:val="32"/>
          <w:szCs w:val="32"/>
        </w:rPr>
      </w:pPr>
      <w:r>
        <w:rPr>
          <w:rFonts w:hint="eastAsia" w:ascii="仿宋_GB2312" w:hAnsi="宋体" w:eastAsia="仿宋_GB2312" w:cs="仿宋_GB2312"/>
          <w:color w:val="auto"/>
          <w:kern w:val="2"/>
          <w:sz w:val="32"/>
          <w:szCs w:val="32"/>
          <w:highlight w:val="none"/>
          <w:shd w:val="clear" w:color="auto" w:fill="auto"/>
          <w:lang w:val="en-US" w:eastAsia="zh-CN" w:bidi="ar"/>
        </w:rPr>
        <w:t>该项目绩效自评效果较好，类似项目财政</w:t>
      </w:r>
      <w:r>
        <w:rPr>
          <w:rFonts w:hint="eastAsia" w:ascii="仿宋" w:hAnsi="仿宋" w:eastAsia="仿宋" w:cs="仿宋"/>
          <w:sz w:val="32"/>
          <w:szCs w:val="32"/>
        </w:rPr>
        <w:t>将继续安排，用好财政资金，发挥资金效益。</w:t>
      </w:r>
    </w:p>
    <w:p w14:paraId="7DED0167">
      <w:pPr>
        <w:widowControl/>
        <w:spacing w:line="560" w:lineRule="exact"/>
        <w:ind w:firstLine="723" w:firstLineChars="200"/>
        <w:rPr>
          <w:rFonts w:hint="default"/>
          <w:b/>
          <w:sz w:val="36"/>
        </w:rPr>
      </w:pPr>
    </w:p>
    <w:p w14:paraId="34DF43CC">
      <w:pPr>
        <w:pStyle w:val="6"/>
        <w:spacing w:line="560" w:lineRule="exact"/>
        <w:rPr>
          <w:rFonts w:hint="default"/>
          <w:b/>
          <w:sz w:val="36"/>
        </w:rPr>
      </w:pPr>
    </w:p>
    <w:p w14:paraId="0C3D5305">
      <w:pPr>
        <w:pStyle w:val="9"/>
        <w:autoSpaceDN w:val="0"/>
        <w:spacing w:line="560" w:lineRule="exact"/>
        <w:ind w:firstLine="2530" w:firstLineChars="700"/>
        <w:rPr>
          <w:b/>
          <w:bCs/>
          <w:sz w:val="36"/>
          <w:szCs w:val="36"/>
        </w:rPr>
      </w:pPr>
      <w:r>
        <w:rPr>
          <w:rFonts w:hint="eastAsia"/>
          <w:b/>
          <w:bCs/>
          <w:sz w:val="36"/>
          <w:szCs w:val="36"/>
        </w:rPr>
        <w:t>第三部分 名词解释</w:t>
      </w:r>
    </w:p>
    <w:p w14:paraId="2893F20F">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C1E858F">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126D1CE4">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2E6DA0EB">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5067B6DE">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5156B3D2">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73F74C81">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26971516">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9306AB9">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346D3E7F">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6BC3B5D">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30A2922C">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2CC231C6">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4471729B">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7D3254D">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CD2E7A8">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624E83D">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29326F1">
      <w:pPr>
        <w:pStyle w:val="6"/>
        <w:spacing w:line="560" w:lineRule="exact"/>
        <w:ind w:firstLine="640"/>
        <w:rPr>
          <w:rFonts w:hint="default" w:ascii="仿宋_GB2312" w:eastAsia="仿宋_GB2312"/>
          <w:i/>
          <w:sz w:val="32"/>
          <w:u w:val="single"/>
        </w:rPr>
      </w:pPr>
    </w:p>
    <w:p w14:paraId="0A8DD4C3">
      <w:pPr>
        <w:pStyle w:val="6"/>
        <w:spacing w:line="560" w:lineRule="atLeast"/>
        <w:jc w:val="left"/>
        <w:rPr>
          <w:rFonts w:hint="default" w:ascii="仿宋_GB2312" w:hAnsi="仿宋_GB2312" w:eastAsia="仿宋_GB2312" w:cs="仿宋_GB2312"/>
          <w:b/>
          <w:sz w:val="52"/>
          <w:szCs w:val="52"/>
        </w:rPr>
      </w:pPr>
    </w:p>
    <w:p w14:paraId="5298DB04">
      <w:pPr>
        <w:pStyle w:val="6"/>
        <w:spacing w:line="560" w:lineRule="atLeast"/>
        <w:jc w:val="left"/>
        <w:rPr>
          <w:rFonts w:hint="default" w:ascii="仿宋_GB2312" w:hAnsi="仿宋_GB2312" w:eastAsia="仿宋_GB2312" w:cs="仿宋_GB2312"/>
          <w:b/>
          <w:sz w:val="52"/>
          <w:szCs w:val="52"/>
        </w:rPr>
      </w:pPr>
    </w:p>
    <w:p w14:paraId="02C061EC">
      <w:pPr>
        <w:pStyle w:val="6"/>
        <w:spacing w:line="560" w:lineRule="atLeast"/>
        <w:jc w:val="left"/>
        <w:rPr>
          <w:rFonts w:hint="default" w:ascii="仿宋_GB2312" w:hAnsi="仿宋_GB2312" w:eastAsia="仿宋_GB2312" w:cs="仿宋_GB2312"/>
          <w:b/>
          <w:sz w:val="52"/>
          <w:szCs w:val="52"/>
        </w:rPr>
      </w:pPr>
    </w:p>
    <w:p w14:paraId="7B62BDBF">
      <w:pPr>
        <w:jc w:val="cente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浑南区财政局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22C9BE12">
      <w:pPr>
        <w:rPr>
          <w:rFonts w:hint="default" w:ascii="仿宋_GB2312" w:hAnsi="宋体" w:eastAsia="仿宋_GB2312"/>
          <w:kern w:val="0"/>
          <w:sz w:val="32"/>
        </w:rPr>
      </w:pPr>
    </w:p>
    <w:p w14:paraId="6F30215C">
      <w:pPr>
        <w:rPr>
          <w:rFonts w:hint="default" w:ascii="仿宋_GB2312" w:hAnsi="宋体" w:eastAsia="仿宋_GB2312"/>
          <w:kern w:val="0"/>
          <w:sz w:val="32"/>
        </w:rPr>
      </w:pPr>
    </w:p>
    <w:p w14:paraId="0DEAA499">
      <w:pPr>
        <w:rPr>
          <w:rFonts w:hint="default" w:ascii="仿宋_GB2312" w:hAnsi="宋体" w:eastAsia="仿宋_GB2312"/>
          <w:kern w:val="0"/>
          <w:sz w:val="32"/>
        </w:rPr>
      </w:pPr>
    </w:p>
    <w:p w14:paraId="151DC3D4">
      <w:pPr>
        <w:rPr>
          <w:rFonts w:hint="default" w:ascii="仿宋_GB2312" w:hAnsi="宋体" w:eastAsia="仿宋_GB2312"/>
          <w:kern w:val="0"/>
          <w:sz w:val="32"/>
        </w:rPr>
      </w:pPr>
    </w:p>
    <w:p w14:paraId="0DFDC495">
      <w:pPr>
        <w:jc w:val="center"/>
        <w:rPr>
          <w:rFonts w:hint="eastAsia" w:ascii="宋体" w:hAnsi="宋体"/>
          <w:b/>
          <w:sz w:val="52"/>
          <w:szCs w:val="52"/>
        </w:rPr>
      </w:pPr>
    </w:p>
    <w:p w14:paraId="002A6665">
      <w:pPr>
        <w:jc w:val="center"/>
        <w:rPr>
          <w:rFonts w:hint="eastAsia" w:ascii="宋体" w:hAnsi="宋体"/>
          <w:b/>
          <w:sz w:val="52"/>
          <w:szCs w:val="52"/>
        </w:rPr>
      </w:pPr>
    </w:p>
    <w:p w14:paraId="685B2891">
      <w:pPr>
        <w:jc w:val="center"/>
        <w:rPr>
          <w:rFonts w:hint="eastAsia" w:ascii="宋体" w:hAnsi="宋体"/>
          <w:b/>
          <w:sz w:val="52"/>
          <w:szCs w:val="52"/>
        </w:rPr>
      </w:pPr>
    </w:p>
    <w:p w14:paraId="1049EDAC">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13DD4E06">
      <w:pPr>
        <w:widowControl w:val="0"/>
        <w:numPr>
          <w:ilvl w:val="0"/>
          <w:numId w:val="0"/>
        </w:numPr>
        <w:jc w:val="center"/>
        <w:rPr>
          <w:rFonts w:hint="default" w:ascii="宋体" w:hAnsi="宋体"/>
          <w:b/>
          <w:sz w:val="52"/>
          <w:szCs w:val="52"/>
          <w:lang w:eastAsia="zh-CN"/>
        </w:rPr>
      </w:pPr>
    </w:p>
    <w:p w14:paraId="5364D3D0">
      <w:pPr>
        <w:widowControl w:val="0"/>
        <w:numPr>
          <w:ilvl w:val="0"/>
          <w:numId w:val="0"/>
        </w:numPr>
        <w:jc w:val="center"/>
        <w:rPr>
          <w:rFonts w:hint="default" w:ascii="宋体" w:hAnsi="宋体"/>
          <w:b/>
          <w:sz w:val="52"/>
          <w:szCs w:val="52"/>
          <w:lang w:eastAsia="zh-CN"/>
        </w:rPr>
      </w:pPr>
    </w:p>
    <w:p w14:paraId="4E1B1C47">
      <w:pPr>
        <w:widowControl w:val="0"/>
        <w:numPr>
          <w:ilvl w:val="0"/>
          <w:numId w:val="0"/>
        </w:numPr>
        <w:jc w:val="center"/>
        <w:rPr>
          <w:rFonts w:hint="default" w:ascii="宋体" w:hAnsi="宋体"/>
          <w:b/>
          <w:sz w:val="52"/>
          <w:szCs w:val="52"/>
          <w:lang w:eastAsia="zh-CN"/>
        </w:rPr>
      </w:pPr>
    </w:p>
    <w:p w14:paraId="2C3396A2">
      <w:pPr>
        <w:widowControl w:val="0"/>
        <w:numPr>
          <w:ilvl w:val="0"/>
          <w:numId w:val="0"/>
        </w:numPr>
        <w:jc w:val="center"/>
        <w:rPr>
          <w:rFonts w:hint="default" w:ascii="宋体" w:hAnsi="宋体"/>
          <w:b/>
          <w:sz w:val="52"/>
          <w:szCs w:val="52"/>
          <w:lang w:eastAsia="zh-CN"/>
        </w:rPr>
      </w:pPr>
    </w:p>
    <w:p w14:paraId="5EB0E415">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6B1FE">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9EEB1">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844C2">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2124">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FEB11">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40007">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954A7"/>
    <w:multiLevelType w:val="singleLevel"/>
    <w:tmpl w:val="EA5954A7"/>
    <w:lvl w:ilvl="0" w:tentative="0">
      <w:start w:val="2"/>
      <w:numFmt w:val="chineseCounting"/>
      <w:suff w:val="nothing"/>
      <w:lvlText w:val="（%1）"/>
      <w:lvlJc w:val="left"/>
      <w:rPr>
        <w:rFonts w:hint="eastAsia"/>
      </w:rPr>
    </w:lvl>
  </w:abstractNum>
  <w:abstractNum w:abstractNumId="1">
    <w:nsid w:val="0982B417"/>
    <w:multiLevelType w:val="singleLevel"/>
    <w:tmpl w:val="0982B417"/>
    <w:lvl w:ilvl="0" w:tentative="0">
      <w:start w:val="2"/>
      <w:numFmt w:val="chineseCounting"/>
      <w:suff w:val="nothing"/>
      <w:lvlText w:val="（%1）"/>
      <w:lvlJc w:val="left"/>
      <w:rPr>
        <w:rFonts w:hint="eastAsia"/>
      </w:rPr>
    </w:lvl>
  </w:abstractNum>
  <w:abstractNum w:abstractNumId="2">
    <w:nsid w:val="3E257FC6"/>
    <w:multiLevelType w:val="singleLevel"/>
    <w:tmpl w:val="3E257FC6"/>
    <w:lvl w:ilvl="0" w:tentative="0">
      <w:start w:val="1"/>
      <w:numFmt w:val="chineseCounting"/>
      <w:suff w:val="nothing"/>
      <w:lvlText w:val="（%1）"/>
      <w:lvlJc w:val="left"/>
      <w:pPr>
        <w:ind w:left="0" w:firstLine="420"/>
      </w:pPr>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453F933A"/>
    <w:multiLevelType w:val="singleLevel"/>
    <w:tmpl w:val="453F933A"/>
    <w:lvl w:ilvl="0" w:tentative="0">
      <w:start w:val="2"/>
      <w:numFmt w:val="chineseCounting"/>
      <w:suff w:val="nothing"/>
      <w:lvlText w:val="%1、"/>
      <w:lvlJc w:val="left"/>
      <w:rPr>
        <w:rFonts w:hint="eastAsia"/>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13538A"/>
    <w:rsid w:val="01622E76"/>
    <w:rsid w:val="082C6248"/>
    <w:rsid w:val="09C4782E"/>
    <w:rsid w:val="0ECB7368"/>
    <w:rsid w:val="0FD91C07"/>
    <w:rsid w:val="11612EA5"/>
    <w:rsid w:val="12CC5588"/>
    <w:rsid w:val="131E2240"/>
    <w:rsid w:val="1B9703C5"/>
    <w:rsid w:val="1C635C29"/>
    <w:rsid w:val="1C6537BA"/>
    <w:rsid w:val="1D3D2CD1"/>
    <w:rsid w:val="1E321E6B"/>
    <w:rsid w:val="286C4199"/>
    <w:rsid w:val="28977847"/>
    <w:rsid w:val="2A3D2189"/>
    <w:rsid w:val="2E4F6256"/>
    <w:rsid w:val="36230505"/>
    <w:rsid w:val="3BA207ED"/>
    <w:rsid w:val="43ED4466"/>
    <w:rsid w:val="46CA2860"/>
    <w:rsid w:val="474C6DD1"/>
    <w:rsid w:val="499A7D3F"/>
    <w:rsid w:val="54F6469B"/>
    <w:rsid w:val="59C52B8D"/>
    <w:rsid w:val="5AE973A2"/>
    <w:rsid w:val="5B697371"/>
    <w:rsid w:val="67277FC8"/>
    <w:rsid w:val="673C6F2C"/>
    <w:rsid w:val="6DA15E5C"/>
    <w:rsid w:val="6FE5071F"/>
    <w:rsid w:val="70C70595"/>
    <w:rsid w:val="724179B2"/>
    <w:rsid w:val="768D2C04"/>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5983</Words>
  <Characters>6410</Characters>
  <Lines>37</Lines>
  <Paragraphs>10</Paragraphs>
  <TotalTime>1</TotalTime>
  <ScaleCrop>false</ScaleCrop>
  <LinksUpToDate>false</LinksUpToDate>
  <CharactersWithSpaces>6468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2025-03-13T08:03:21Z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